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1754">
      <w:pPr>
        <w:spacing w:line="360" w:lineRule="auto"/>
        <w:jc w:val="center"/>
        <w:outlineLvl w:val="0"/>
        <w:rPr>
          <w:rFonts w:hint="eastAsia" w:ascii="黑体" w:hAnsi="黑体" w:eastAsia="黑体" w:cs="黑体"/>
          <w:bCs/>
          <w:sz w:val="84"/>
          <w:szCs w:val="84"/>
        </w:rPr>
      </w:pPr>
      <w:r>
        <w:rPr>
          <w:rFonts w:hint="eastAsia" w:ascii="黑体" w:hAnsi="黑体" w:eastAsia="黑体" w:cs="黑体"/>
          <w:b w:val="0"/>
          <w:bCs/>
          <w:kern w:val="2"/>
          <w:sz w:val="96"/>
          <w:szCs w:val="96"/>
          <w:lang w:eastAsia="zh-CN"/>
        </w:rPr>
        <w:t>正电子药物采购及技术合作</w:t>
      </w:r>
    </w:p>
    <w:p w14:paraId="23884525">
      <w:pPr>
        <w:spacing w:line="360" w:lineRule="auto"/>
        <w:jc w:val="center"/>
        <w:outlineLvl w:val="0"/>
        <w:rPr>
          <w:rFonts w:hint="eastAsia" w:ascii="宋体" w:hAnsi="宋体" w:cs="宋体"/>
          <w:b/>
          <w:bCs/>
          <w:kern w:val="0"/>
          <w:sz w:val="40"/>
          <w:szCs w:val="40"/>
        </w:rPr>
      </w:pPr>
      <w:r>
        <w:rPr>
          <w:rFonts w:hint="eastAsia" w:ascii="黑体" w:hAnsi="黑体" w:eastAsia="黑体" w:cs="黑体"/>
          <w:bCs/>
          <w:sz w:val="84"/>
          <w:szCs w:val="84"/>
        </w:rPr>
        <w:t>招 标 文 件</w:t>
      </w:r>
    </w:p>
    <w:p w14:paraId="33BE6EC7">
      <w:pPr>
        <w:spacing w:line="360" w:lineRule="auto"/>
        <w:jc w:val="center"/>
        <w:outlineLvl w:val="0"/>
        <w:rPr>
          <w:rFonts w:hint="eastAsia" w:ascii="宋体" w:hAnsi="宋体" w:cs="宋体"/>
          <w:b/>
          <w:bCs/>
          <w:kern w:val="0"/>
          <w:sz w:val="40"/>
          <w:szCs w:val="40"/>
        </w:rPr>
      </w:pPr>
    </w:p>
    <w:p w14:paraId="1CCA0E2E">
      <w:pPr>
        <w:spacing w:line="360" w:lineRule="auto"/>
        <w:jc w:val="center"/>
        <w:outlineLvl w:val="0"/>
        <w:rPr>
          <w:rFonts w:hint="eastAsia" w:ascii="宋体" w:hAnsi="宋体" w:cs="宋体"/>
          <w:b/>
          <w:bCs/>
          <w:kern w:val="0"/>
          <w:sz w:val="40"/>
          <w:szCs w:val="40"/>
        </w:rPr>
      </w:pPr>
    </w:p>
    <w:p w14:paraId="07643542">
      <w:pPr>
        <w:spacing w:line="360" w:lineRule="auto"/>
        <w:jc w:val="center"/>
        <w:outlineLvl w:val="0"/>
        <w:rPr>
          <w:rFonts w:hint="eastAsia" w:ascii="宋体" w:hAnsi="宋体" w:cs="宋体"/>
          <w:b/>
          <w:bCs/>
          <w:kern w:val="0"/>
          <w:sz w:val="40"/>
          <w:szCs w:val="40"/>
        </w:rPr>
      </w:pPr>
    </w:p>
    <w:p w14:paraId="2D75586E">
      <w:pPr>
        <w:spacing w:line="360" w:lineRule="auto"/>
        <w:jc w:val="center"/>
        <w:outlineLvl w:val="0"/>
        <w:rPr>
          <w:rFonts w:hint="eastAsia" w:ascii="宋体" w:hAnsi="宋体" w:cs="宋体"/>
          <w:b/>
          <w:bCs/>
          <w:kern w:val="0"/>
          <w:sz w:val="40"/>
          <w:szCs w:val="40"/>
        </w:rPr>
      </w:pPr>
    </w:p>
    <w:p w14:paraId="058EF8BF">
      <w:pPr>
        <w:spacing w:line="360" w:lineRule="auto"/>
        <w:jc w:val="center"/>
        <w:outlineLvl w:val="0"/>
        <w:rPr>
          <w:rFonts w:hint="eastAsia" w:ascii="宋体" w:hAnsi="宋体" w:cs="宋体"/>
          <w:b/>
          <w:bCs/>
          <w:kern w:val="0"/>
          <w:sz w:val="40"/>
          <w:szCs w:val="40"/>
        </w:rPr>
      </w:pPr>
    </w:p>
    <w:p w14:paraId="0DD7814D">
      <w:pPr>
        <w:spacing w:line="360" w:lineRule="auto"/>
        <w:jc w:val="center"/>
        <w:outlineLvl w:val="0"/>
        <w:rPr>
          <w:rFonts w:hint="eastAsia" w:ascii="宋体" w:hAnsi="宋体" w:cs="宋体"/>
          <w:b/>
          <w:bCs/>
          <w:kern w:val="0"/>
          <w:sz w:val="40"/>
          <w:szCs w:val="40"/>
        </w:rPr>
      </w:pPr>
    </w:p>
    <w:p w14:paraId="09CD936F">
      <w:pPr>
        <w:spacing w:line="360" w:lineRule="auto"/>
        <w:jc w:val="center"/>
        <w:outlineLvl w:val="0"/>
        <w:rPr>
          <w:rFonts w:hint="eastAsia" w:ascii="宋体" w:hAnsi="宋体" w:cs="宋体"/>
          <w:b/>
          <w:bCs/>
          <w:kern w:val="0"/>
          <w:sz w:val="40"/>
          <w:szCs w:val="40"/>
        </w:rPr>
      </w:pPr>
    </w:p>
    <w:p w14:paraId="79A4AD24">
      <w:pPr>
        <w:spacing w:line="360" w:lineRule="auto"/>
        <w:jc w:val="center"/>
        <w:outlineLvl w:val="0"/>
        <w:rPr>
          <w:rFonts w:hint="eastAsia" w:ascii="宋体" w:hAnsi="宋体" w:cs="宋体"/>
          <w:b/>
          <w:bCs/>
          <w:kern w:val="0"/>
          <w:sz w:val="40"/>
          <w:szCs w:val="40"/>
        </w:rPr>
      </w:pPr>
    </w:p>
    <w:p w14:paraId="60E6E1A4">
      <w:pPr>
        <w:spacing w:line="360" w:lineRule="auto"/>
        <w:jc w:val="center"/>
        <w:outlineLvl w:val="0"/>
        <w:rPr>
          <w:rFonts w:hint="eastAsia" w:ascii="宋体" w:hAnsi="宋体" w:cs="宋体"/>
          <w:b/>
          <w:bCs/>
          <w:kern w:val="0"/>
          <w:sz w:val="40"/>
          <w:szCs w:val="40"/>
        </w:rPr>
      </w:pPr>
    </w:p>
    <w:p w14:paraId="70C1ADFE">
      <w:pPr>
        <w:spacing w:line="360" w:lineRule="auto"/>
        <w:jc w:val="center"/>
        <w:outlineLvl w:val="0"/>
        <w:rPr>
          <w:rFonts w:hint="eastAsia" w:ascii="宋体" w:hAnsi="宋体" w:cs="宋体"/>
          <w:b/>
          <w:bCs/>
          <w:kern w:val="0"/>
          <w:sz w:val="40"/>
          <w:szCs w:val="40"/>
        </w:rPr>
      </w:pPr>
      <w:bookmarkStart w:id="0" w:name="_Toc6666"/>
      <w:r>
        <w:rPr>
          <w:rFonts w:hint="eastAsia" w:ascii="黑体" w:hAnsi="黑体" w:eastAsia="黑体" w:cs="黑体"/>
          <w:bCs/>
          <w:sz w:val="36"/>
          <w:szCs w:val="36"/>
        </w:rPr>
        <w:t>采购人：</w:t>
      </w:r>
      <w:bookmarkEnd w:id="0"/>
      <w:r>
        <w:rPr>
          <w:rFonts w:hint="eastAsia" w:ascii="黑体" w:hAnsi="黑体" w:eastAsia="黑体" w:cs="黑体"/>
          <w:bCs/>
          <w:sz w:val="36"/>
          <w:szCs w:val="36"/>
          <w:lang w:eastAsia="zh-CN"/>
        </w:rPr>
        <w:t>中国医学科学院肿瘤医院深圳医院</w:t>
      </w:r>
    </w:p>
    <w:p w14:paraId="1D5B75AC">
      <w:pPr>
        <w:spacing w:line="360" w:lineRule="auto"/>
        <w:jc w:val="center"/>
        <w:outlineLvl w:val="0"/>
        <w:rPr>
          <w:rFonts w:hint="eastAsia" w:ascii="宋体" w:hAnsi="宋体" w:cs="宋体"/>
          <w:b/>
          <w:bCs/>
          <w:kern w:val="0"/>
          <w:sz w:val="40"/>
          <w:szCs w:val="40"/>
        </w:rPr>
      </w:pPr>
    </w:p>
    <w:p w14:paraId="1C1264AE">
      <w:pPr>
        <w:spacing w:line="360" w:lineRule="auto"/>
        <w:jc w:val="center"/>
        <w:outlineLvl w:val="0"/>
        <w:rPr>
          <w:rFonts w:hint="eastAsia" w:ascii="宋体" w:hAnsi="宋体" w:cs="宋体"/>
          <w:b/>
          <w:bCs/>
          <w:kern w:val="0"/>
          <w:sz w:val="40"/>
          <w:szCs w:val="40"/>
        </w:rPr>
      </w:pPr>
    </w:p>
    <w:p w14:paraId="2D90BF57">
      <w:pPr>
        <w:spacing w:line="360" w:lineRule="auto"/>
        <w:jc w:val="center"/>
        <w:outlineLvl w:val="0"/>
        <w:rPr>
          <w:rFonts w:hint="eastAsia" w:ascii="宋体" w:hAnsi="宋体" w:cs="宋体"/>
          <w:b/>
          <w:bCs/>
          <w:kern w:val="0"/>
          <w:sz w:val="40"/>
          <w:szCs w:val="40"/>
        </w:rPr>
      </w:pPr>
    </w:p>
    <w:p w14:paraId="07C57B1D">
      <w:pPr>
        <w:spacing w:line="360" w:lineRule="auto"/>
        <w:jc w:val="center"/>
        <w:outlineLvl w:val="0"/>
        <w:rPr>
          <w:rFonts w:hint="eastAsia" w:ascii="宋体" w:hAnsi="宋体" w:cs="宋体"/>
          <w:b/>
          <w:bCs/>
          <w:kern w:val="0"/>
          <w:sz w:val="40"/>
          <w:szCs w:val="40"/>
        </w:rPr>
      </w:pPr>
    </w:p>
    <w:p w14:paraId="69CED0A3">
      <w:pPr>
        <w:spacing w:line="360" w:lineRule="auto"/>
        <w:jc w:val="center"/>
        <w:outlineLvl w:val="0"/>
        <w:rPr>
          <w:rFonts w:hint="eastAsia" w:ascii="宋体" w:hAnsi="宋体" w:cs="宋体"/>
          <w:b/>
          <w:bCs/>
          <w:kern w:val="0"/>
          <w:sz w:val="40"/>
          <w:szCs w:val="40"/>
        </w:rPr>
      </w:pPr>
    </w:p>
    <w:p w14:paraId="780D532E">
      <w:pPr>
        <w:spacing w:line="360" w:lineRule="auto"/>
        <w:jc w:val="center"/>
        <w:outlineLvl w:val="0"/>
        <w:rPr>
          <w:rFonts w:hint="eastAsia" w:ascii="宋体" w:hAnsi="宋体" w:cs="宋体"/>
          <w:b/>
          <w:bCs/>
          <w:kern w:val="0"/>
          <w:sz w:val="40"/>
          <w:szCs w:val="40"/>
        </w:rPr>
      </w:pPr>
    </w:p>
    <w:p w14:paraId="349E9F5A">
      <w:pPr>
        <w:autoSpaceDE w:val="0"/>
        <w:autoSpaceDN w:val="0"/>
        <w:adjustRightInd w:val="0"/>
        <w:spacing w:line="360" w:lineRule="auto"/>
        <w:jc w:val="center"/>
        <w:outlineLvl w:val="9"/>
        <w:rPr>
          <w:rFonts w:hint="eastAsia" w:ascii="宋体" w:hAnsi="宋体" w:eastAsia="黑体" w:cs="仿宋_GB2312"/>
          <w:kern w:val="0"/>
          <w:szCs w:val="21"/>
          <w:lang w:eastAsia="zh-CN"/>
        </w:rPr>
      </w:pPr>
      <w:bookmarkStart w:id="1" w:name="_Toc30170"/>
      <w:r>
        <w:rPr>
          <w:rFonts w:hint="eastAsia" w:ascii="黑体" w:hAnsi="黑体" w:eastAsia="黑体" w:cs="黑体"/>
          <w:b w:val="0"/>
          <w:bCs w:val="0"/>
          <w:color w:val="FF0000"/>
          <w:kern w:val="0"/>
          <w:sz w:val="28"/>
          <w:szCs w:val="28"/>
          <w:u w:val="double"/>
          <w:lang w:eastAsia="zh-CN"/>
        </w:rPr>
        <w:t>【</w:t>
      </w:r>
      <w:r>
        <w:rPr>
          <w:rFonts w:hint="eastAsia" w:ascii="黑体" w:hAnsi="黑体" w:eastAsia="黑体" w:cs="黑体"/>
          <w:b w:val="0"/>
          <w:bCs w:val="0"/>
          <w:color w:val="FF0000"/>
          <w:kern w:val="0"/>
          <w:sz w:val="28"/>
          <w:szCs w:val="28"/>
          <w:u w:val="double"/>
        </w:rPr>
        <w:t>特别警示条款</w:t>
      </w:r>
      <w:bookmarkEnd w:id="1"/>
      <w:r>
        <w:rPr>
          <w:rFonts w:hint="eastAsia" w:ascii="黑体" w:hAnsi="黑体" w:eastAsia="黑体" w:cs="黑体"/>
          <w:b w:val="0"/>
          <w:bCs w:val="0"/>
          <w:color w:val="FF0000"/>
          <w:kern w:val="0"/>
          <w:sz w:val="28"/>
          <w:szCs w:val="28"/>
          <w:u w:val="double"/>
          <w:lang w:eastAsia="zh-CN"/>
        </w:rPr>
        <w:t>】</w:t>
      </w:r>
    </w:p>
    <w:p w14:paraId="743E3209">
      <w:pPr>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jc w:val="left"/>
        <w:textAlignment w:val="auto"/>
        <w:rPr>
          <w:rFonts w:hint="eastAsia" w:ascii="宋体" w:hAnsi="宋体" w:cs="仿宋_GB2312"/>
          <w:b/>
          <w:color w:val="FF0000"/>
          <w:kern w:val="0"/>
          <w:sz w:val="21"/>
          <w:szCs w:val="21"/>
          <w:highlight w:val="none"/>
          <w:lang w:val="en-US" w:eastAsia="zh-CN"/>
        </w:rPr>
      </w:pPr>
      <w:r>
        <w:rPr>
          <w:rFonts w:hint="eastAsia" w:ascii="宋体" w:hAnsi="宋体" w:cs="仿宋_GB2312"/>
          <w:b/>
          <w:color w:val="FF0000"/>
          <w:kern w:val="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163F07AF">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lang w:val="en-US" w:eastAsia="zh-CN"/>
        </w:rPr>
      </w:pPr>
      <w:r>
        <w:rPr>
          <w:rFonts w:hint="eastAsia" w:ascii="宋体" w:hAnsi="宋体" w:eastAsia="宋体" w:cs="宋体"/>
          <w:b/>
          <w:color w:val="FF0000"/>
          <w:kern w:val="0"/>
          <w:sz w:val="21"/>
          <w:szCs w:val="21"/>
          <w:lang w:val="en-US" w:eastAsia="zh-CN"/>
        </w:rPr>
        <w:t>《供应商参与投标禁止情形》</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370"/>
      </w:tblGrid>
      <w:tr w14:paraId="57F3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4ADB4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7898" w:type="dxa"/>
            <w:noWrap w:val="0"/>
            <w:vAlign w:val="center"/>
          </w:tcPr>
          <w:p w14:paraId="3B847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4577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3CB37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98" w:type="dxa"/>
            <w:noWrap w:val="0"/>
            <w:vAlign w:val="center"/>
          </w:tcPr>
          <w:p w14:paraId="70F314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5FF4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6F749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98" w:type="dxa"/>
            <w:noWrap w:val="0"/>
            <w:vAlign w:val="center"/>
          </w:tcPr>
          <w:p w14:paraId="7C091B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68C0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583F0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98" w:type="dxa"/>
            <w:noWrap w:val="0"/>
            <w:vAlign w:val="center"/>
          </w:tcPr>
          <w:p w14:paraId="44F91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056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5C9F3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98" w:type="dxa"/>
            <w:noWrap w:val="0"/>
            <w:vAlign w:val="center"/>
          </w:tcPr>
          <w:p w14:paraId="689853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D25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31806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98" w:type="dxa"/>
            <w:noWrap w:val="0"/>
            <w:vAlign w:val="center"/>
          </w:tcPr>
          <w:p w14:paraId="4A4ABC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D6F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14:paraId="7F7AC0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98" w:type="dxa"/>
            <w:noWrap w:val="0"/>
            <w:vAlign w:val="center"/>
          </w:tcPr>
          <w:p w14:paraId="53A3B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电子营业执照出借他人使用或未妥善保管。</w:t>
            </w:r>
          </w:p>
        </w:tc>
      </w:tr>
    </w:tbl>
    <w:p w14:paraId="44F674F7">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《深圳经济特区政府采购条例》</w:t>
      </w:r>
    </w:p>
    <w:p w14:paraId="045FFF03">
      <w:pPr>
        <w:keepNext w:val="0"/>
        <w:pageBreakBefore w:val="0"/>
        <w:kinsoku/>
        <w:wordWrap/>
        <w:overflowPunct/>
        <w:topLinePunct w:val="0"/>
        <w:autoSpaceDE w:val="0"/>
        <w:autoSpaceDN w:val="0"/>
        <w:bidi w:val="0"/>
        <w:adjustRightInd w:val="0"/>
        <w:snapToGrid/>
        <w:spacing w:line="240" w:lineRule="auto"/>
        <w:ind w:firstLine="422" w:firstLineChars="200"/>
        <w:jc w:val="left"/>
        <w:textAlignment w:val="auto"/>
        <w:rPr>
          <w:rFonts w:hint="eastAsia" w:ascii="宋体" w:hAnsi="宋体" w:eastAsia="宋体" w:cs="宋体"/>
          <w:color w:val="040404"/>
          <w:sz w:val="21"/>
          <w:szCs w:val="21"/>
        </w:rPr>
      </w:pPr>
      <w:r>
        <w:rPr>
          <w:rStyle w:val="13"/>
          <w:rFonts w:hint="eastAsia" w:ascii="宋体" w:hAnsi="宋体" w:eastAsia="宋体" w:cs="宋体"/>
          <w:color w:val="040404"/>
          <w:sz w:val="21"/>
          <w:szCs w:val="21"/>
        </w:rPr>
        <w:t>第五十七条</w:t>
      </w:r>
      <w:r>
        <w:rPr>
          <w:rFonts w:hint="eastAsia" w:ascii="宋体" w:hAnsi="宋体" w:eastAsia="宋体" w:cs="宋体"/>
          <w:color w:val="040404"/>
          <w:sz w:val="21"/>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01CD1125">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outlineLvl w:val="9"/>
        <w:rPr>
          <w:rFonts w:hint="eastAsia" w:ascii="宋体" w:hAnsi="宋体" w:eastAsia="宋体" w:cs="宋体"/>
          <w:color w:val="040404"/>
          <w:sz w:val="21"/>
          <w:szCs w:val="21"/>
        </w:rPr>
      </w:pPr>
      <w:bookmarkStart w:id="2" w:name="_Toc2750"/>
      <w:r>
        <w:rPr>
          <w:rFonts w:hint="eastAsia" w:ascii="宋体" w:hAnsi="宋体" w:eastAsia="宋体" w:cs="宋体"/>
          <w:color w:val="040404"/>
          <w:sz w:val="21"/>
          <w:szCs w:val="21"/>
        </w:rPr>
        <w:t>（一）在采购活动中应当回避而未回避的；</w:t>
      </w:r>
      <w:bookmarkEnd w:id="2"/>
    </w:p>
    <w:p w14:paraId="7EEA280C">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（二）未按照本条例规定签订、履行采购合同，造成严重后果的；</w:t>
      </w:r>
    </w:p>
    <w:p w14:paraId="685E8C30">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（三）隐瞒真实情况，提供虚假资料的；</w:t>
      </w:r>
    </w:p>
    <w:p w14:paraId="1E848BAA">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（四）以非法手段排斥其他供应商参与竞争的；</w:t>
      </w:r>
    </w:p>
    <w:p w14:paraId="3B38D2D3">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（五）与其他采购参加人串通投标的；</w:t>
      </w:r>
    </w:p>
    <w:p w14:paraId="5D7BE387">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（六）恶意投诉的；</w:t>
      </w:r>
    </w:p>
    <w:p w14:paraId="4133C970">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（七）向采购项目相关人行贿或者提供其他不当利益的；</w:t>
      </w:r>
    </w:p>
    <w:p w14:paraId="391C4106">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（八）阻碍、抗拒主管部门监督检查的；</w:t>
      </w:r>
    </w:p>
    <w:p w14:paraId="5E374693">
      <w:pPr>
        <w:pStyle w:val="8"/>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（九）其他违反本条例规定的行为。</w:t>
      </w:r>
    </w:p>
    <w:p w14:paraId="78ACB809">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《深圳经济特区政府采购条例实施细则》</w:t>
      </w:r>
    </w:p>
    <w:p w14:paraId="4AC6688E">
      <w:pPr>
        <w:keepNext w:val="0"/>
        <w:keepLines/>
        <w:pageBreakBefore w:val="0"/>
        <w:kinsoku/>
        <w:wordWrap/>
        <w:overflowPunct/>
        <w:topLinePunct w:val="0"/>
        <w:bidi w:val="0"/>
        <w:snapToGrid/>
        <w:spacing w:line="24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第七十五条</w:t>
      </w:r>
      <w:r>
        <w:rPr>
          <w:rFonts w:hint="eastAsia" w:ascii="宋体" w:hAnsi="宋体" w:eastAsia="宋体" w:cs="宋体"/>
          <w:sz w:val="21"/>
          <w:szCs w:val="21"/>
        </w:rPr>
        <w:t> 供应商有下列情形的，属于采购条例所称的串通投标行为，按照采购条例第五十七条有关规定处理：</w:t>
      </w:r>
    </w:p>
    <w:p w14:paraId="7C0567A9">
      <w:pPr>
        <w:keepNext w:val="0"/>
        <w:keepLines/>
        <w:pageBreakBefore w:val="0"/>
        <w:kinsoku/>
        <w:wordWrap/>
        <w:overflowPunct/>
        <w:topLinePunct w:val="0"/>
        <w:bidi w:val="0"/>
        <w:snapToGrid/>
        <w:spacing w:line="240" w:lineRule="auto"/>
        <w:ind w:firstLine="420" w:firstLineChars="200"/>
        <w:textAlignment w:val="auto"/>
        <w:outlineLvl w:val="9"/>
        <w:rPr>
          <w:rFonts w:hint="eastAsia" w:ascii="宋体" w:hAnsi="宋体" w:eastAsia="宋体" w:cs="宋体"/>
          <w:sz w:val="21"/>
          <w:szCs w:val="21"/>
        </w:rPr>
      </w:pPr>
      <w:bookmarkStart w:id="3" w:name="_Toc6281"/>
      <w:r>
        <w:rPr>
          <w:rFonts w:hint="eastAsia" w:ascii="宋体" w:hAnsi="宋体" w:eastAsia="宋体" w:cs="宋体"/>
          <w:sz w:val="21"/>
          <w:szCs w:val="21"/>
        </w:rPr>
        <w:t>（一）投标供应商之间相互约定给予未中标的供应商利益补偿；</w:t>
      </w:r>
      <w:bookmarkEnd w:id="3"/>
    </w:p>
    <w:p w14:paraId="7123FFA1">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（二）不同投标供应商的法定代表人、主要经营负责人、项目投标授权代表人、项目负责人、主要技术人员为同一人、属同一单位或者在同一单位缴纳社会保险；</w:t>
      </w:r>
    </w:p>
    <w:p w14:paraId="1E66FB96">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（三）不同投标供应商的投标文件由同一单位或者同一人编制，或者由同一人分阶段参与编制的；</w:t>
      </w:r>
    </w:p>
    <w:p w14:paraId="281ED5AE">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（四）不同投标供应商的投标文件或部分投标文件相互混装；</w:t>
      </w:r>
    </w:p>
    <w:p w14:paraId="3DE5E95C">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（五）不同投标供应商的投标文件内容存在非正常一致；</w:t>
      </w:r>
    </w:p>
    <w:p w14:paraId="1D013EE7">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（六）由同一单位工作人员为两家以上（含两家）供应商进行同一项投标活动的；</w:t>
      </w:r>
    </w:p>
    <w:p w14:paraId="0843D537">
      <w:pPr>
        <w:keepNext w:val="0"/>
        <w:keepLines/>
        <w:pageBreakBefore w:val="0"/>
        <w:kinsoku/>
        <w:wordWrap/>
        <w:overflowPunct/>
        <w:topLinePunct w:val="0"/>
        <w:bidi w:val="0"/>
        <w:snapToGrid/>
        <w:spacing w:line="240" w:lineRule="auto"/>
        <w:ind w:firstLine="420" w:firstLineChars="200"/>
        <w:textAlignment w:val="auto"/>
        <w:outlineLvl w:val="9"/>
        <w:rPr>
          <w:rFonts w:hint="eastAsia" w:ascii="宋体" w:hAnsi="宋体" w:eastAsia="宋体" w:cs="宋体"/>
          <w:sz w:val="21"/>
          <w:szCs w:val="21"/>
        </w:rPr>
      </w:pPr>
      <w:bookmarkStart w:id="4" w:name="_Toc31089"/>
      <w:r>
        <w:rPr>
          <w:rFonts w:hint="eastAsia" w:ascii="宋体" w:hAnsi="宋体" w:eastAsia="宋体" w:cs="宋体"/>
          <w:sz w:val="21"/>
          <w:szCs w:val="21"/>
        </w:rPr>
        <w:t>（七）主管部门依照法律、法规认定的其他情形。</w:t>
      </w:r>
      <w:bookmarkEnd w:id="4"/>
    </w:p>
    <w:p w14:paraId="43FD4C65">
      <w:pPr>
        <w:keepNext w:val="0"/>
        <w:keepLines/>
        <w:pageBreakBefore w:val="0"/>
        <w:kinsoku/>
        <w:wordWrap/>
        <w:overflowPunct/>
        <w:topLinePunct w:val="0"/>
        <w:bidi w:val="0"/>
        <w:snapToGrid/>
        <w:spacing w:line="24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第七十七条</w:t>
      </w:r>
      <w:r>
        <w:rPr>
          <w:rFonts w:hint="eastAsia" w:ascii="宋体" w:hAnsi="宋体" w:eastAsia="宋体" w:cs="宋体"/>
          <w:sz w:val="21"/>
          <w:szCs w:val="21"/>
        </w:rPr>
        <w:t> 供应商有下列情形之一的，属于隐瞒真实情况，提供虚假资料，按照采购条例第五十七条的有关规定处理：</w:t>
      </w:r>
    </w:p>
    <w:p w14:paraId="44AC556C">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（一）通过转让或者租借等方式从其他单位获取资格或者资质证书投标的；</w:t>
      </w:r>
    </w:p>
    <w:p w14:paraId="2F391137">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（二）由其他单位或者其他单位负责人在投标供应商编制的投标文件上加盖印章或者签字的；</w:t>
      </w:r>
    </w:p>
    <w:p w14:paraId="28E51B47">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（三）项目负责人或者主要技术人员不是本单位人员的；</w:t>
      </w:r>
    </w:p>
    <w:p w14:paraId="5D341779">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（四）投标保证金不是从投标供应商基本账户转出的；</w:t>
      </w:r>
    </w:p>
    <w:p w14:paraId="7348D775">
      <w:pPr>
        <w:keepNext w:val="0"/>
        <w:keepLines/>
        <w:pageBreakBefore w:val="0"/>
        <w:kinsoku/>
        <w:wordWrap/>
        <w:overflowPunct/>
        <w:topLinePunct w:val="0"/>
        <w:bidi w:val="0"/>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（五）其他隐瞒真实情况、提供虚假资料的行为。</w:t>
      </w:r>
    </w:p>
    <w:p w14:paraId="40764F52">
      <w:pPr>
        <w:keepNext w:val="0"/>
        <w:keepLines/>
        <w:pageBreakBefore w:val="0"/>
        <w:kinsoku/>
        <w:wordWrap/>
        <w:overflowPunct/>
        <w:topLinePunct w:val="0"/>
        <w:bidi w:val="0"/>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投标供应商不能提供项目负责人或者主要技术人员的劳动合同、社会保险等劳动关系证明材料的，视为存在前款第（三）项规定的情形。</w:t>
      </w:r>
    </w:p>
    <w:p w14:paraId="3BDF1A60">
      <w:pPr>
        <w:pStyle w:val="3"/>
        <w:keepNext w:val="0"/>
        <w:pageBreakBefore w:val="0"/>
        <w:tabs>
          <w:tab w:val="left" w:pos="562"/>
          <w:tab w:val="left" w:pos="3372"/>
          <w:tab w:val="left" w:pos="3653"/>
        </w:tabs>
        <w:kinsoku/>
        <w:wordWrap/>
        <w:overflowPunct/>
        <w:topLinePunct w:val="0"/>
        <w:bidi w:val="0"/>
        <w:snapToGrid/>
        <w:spacing w:line="240" w:lineRule="auto"/>
        <w:textAlignment w:val="auto"/>
        <w:rPr>
          <w:rFonts w:hint="eastAsia" w:ascii="宋体" w:hAnsi="宋体" w:eastAsia="宋体" w:cs="宋体"/>
          <w:sz w:val="21"/>
          <w:szCs w:val="21"/>
        </w:rPr>
      </w:pPr>
    </w:p>
    <w:p w14:paraId="732EC55F">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《中华人民共和国政府采购法实施条例》 </w:t>
      </w:r>
    </w:p>
    <w:p w14:paraId="6421E1E9">
      <w:pPr>
        <w:keepNext w:val="0"/>
        <w:pageBreakBefore w:val="0"/>
        <w:kinsoku/>
        <w:wordWrap/>
        <w:overflowPunct/>
        <w:topLinePunct w:val="0"/>
        <w:bidi w:val="0"/>
        <w:snapToGrid/>
        <w:spacing w:line="240" w:lineRule="auto"/>
        <w:ind w:firstLine="422" w:firstLineChars="200"/>
        <w:jc w:val="left"/>
        <w:textAlignment w:val="auto"/>
        <w:outlineLvl w:val="9"/>
        <w:rPr>
          <w:rFonts w:hint="eastAsia" w:ascii="宋体" w:hAnsi="宋体" w:eastAsia="宋体" w:cs="宋体"/>
          <w:sz w:val="21"/>
          <w:szCs w:val="21"/>
        </w:rPr>
      </w:pPr>
      <w:bookmarkStart w:id="5" w:name="_Toc10451"/>
      <w:r>
        <w:rPr>
          <w:rFonts w:hint="eastAsia" w:ascii="宋体" w:hAnsi="宋体" w:eastAsia="宋体" w:cs="宋体"/>
          <w:b/>
          <w:bCs/>
          <w:sz w:val="21"/>
          <w:szCs w:val="21"/>
        </w:rPr>
        <w:t>第十八条</w:t>
      </w:r>
      <w:r>
        <w:rPr>
          <w:rFonts w:hint="eastAsia" w:ascii="宋体" w:hAnsi="宋体" w:eastAsia="宋体" w:cs="宋体"/>
          <w:sz w:val="21"/>
          <w:szCs w:val="21"/>
        </w:rPr>
        <w:t xml:space="preserve"> 单位负责人为同一人或者存在直接控股、管理关系的不同供应商，不得参加同一合同项下的政府采购活动。</w:t>
      </w:r>
      <w:bookmarkEnd w:id="5"/>
    </w:p>
    <w:p w14:paraId="104C81E5">
      <w:pPr>
        <w:keepNext w:val="0"/>
        <w:pageBreakBefore w:val="0"/>
        <w:kinsoku/>
        <w:wordWrap/>
        <w:overflowPunct/>
        <w:topLinePunct w:val="0"/>
        <w:bidi w:val="0"/>
        <w:snapToGrid/>
        <w:spacing w:line="240" w:lineRule="auto"/>
        <w:ind w:firstLine="420" w:firstLineChars="200"/>
        <w:jc w:val="left"/>
        <w:textAlignment w:val="auto"/>
        <w:outlineLvl w:val="9"/>
        <w:rPr>
          <w:rFonts w:hint="eastAsia" w:ascii="宋体" w:hAnsi="宋体" w:eastAsia="宋体" w:cs="宋体"/>
          <w:sz w:val="21"/>
          <w:szCs w:val="21"/>
        </w:rPr>
      </w:pPr>
      <w:bookmarkStart w:id="6" w:name="_Toc4495"/>
      <w:r>
        <w:rPr>
          <w:rFonts w:hint="eastAsia" w:ascii="宋体" w:hAnsi="宋体" w:eastAsia="宋体" w:cs="宋体"/>
          <w:sz w:val="21"/>
          <w:szCs w:val="21"/>
        </w:rPr>
        <w:t>除单一来源采购项目外，为采购项目提供整体设计、规范编制或者项目管理、监 理、检测等服务的供应商，不得再参加该采购项目的其他采购活动。</w:t>
      </w:r>
      <w:bookmarkEnd w:id="6"/>
    </w:p>
    <w:p w14:paraId="52E21EDE">
      <w:pPr>
        <w:pStyle w:val="3"/>
        <w:keepNext w:val="0"/>
        <w:pageBreakBefore w:val="0"/>
        <w:tabs>
          <w:tab w:val="left" w:pos="562"/>
          <w:tab w:val="left" w:pos="3372"/>
          <w:tab w:val="left" w:pos="3653"/>
        </w:tabs>
        <w:kinsoku/>
        <w:wordWrap/>
        <w:overflowPunct/>
        <w:topLinePunct w:val="0"/>
        <w:bidi w:val="0"/>
        <w:snapToGrid/>
        <w:spacing w:line="240" w:lineRule="auto"/>
        <w:textAlignment w:val="auto"/>
        <w:rPr>
          <w:rFonts w:hint="eastAsia" w:ascii="宋体" w:hAnsi="宋体" w:eastAsia="宋体" w:cs="宋体"/>
          <w:sz w:val="21"/>
          <w:szCs w:val="21"/>
        </w:rPr>
      </w:pPr>
    </w:p>
    <w:p w14:paraId="2DA355EC">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《深圳市财政局关于采购文件增加风险告知有关事项的通知》 </w:t>
      </w:r>
    </w:p>
    <w:p w14:paraId="0BAC2FD6">
      <w:pPr>
        <w:pStyle w:val="3"/>
        <w:keepNext w:val="0"/>
        <w:pageBreakBefore w:val="0"/>
        <w:tabs>
          <w:tab w:val="left" w:pos="562"/>
          <w:tab w:val="left" w:pos="3372"/>
          <w:tab w:val="left" w:pos="3653"/>
        </w:tabs>
        <w:kinsoku/>
        <w:wordWrap/>
        <w:overflowPunct/>
        <w:topLinePunct w:val="0"/>
        <w:bidi w:val="0"/>
        <w:snapToGrid/>
        <w:spacing w:line="240" w:lineRule="auto"/>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各投标供应商应按要求提交《政府采购违法行为风险知悉确认书》（详见第四章 投标文件格式、第二部分  资格性、符合性审查文件《</w:t>
      </w:r>
      <w:r>
        <w:rPr>
          <w:rFonts w:hint="eastAsia" w:ascii="宋体" w:hAnsi="宋体" w:cs="宋体"/>
          <w:sz w:val="21"/>
          <w:szCs w:val="21"/>
          <w:lang w:val="en-US" w:eastAsia="zh-CN"/>
        </w:rPr>
        <w:t>九</w:t>
      </w:r>
      <w:r>
        <w:rPr>
          <w:rFonts w:hint="eastAsia" w:ascii="宋体" w:hAnsi="宋体" w:eastAsia="宋体" w:cs="宋体"/>
          <w:sz w:val="21"/>
          <w:szCs w:val="21"/>
        </w:rPr>
        <w:t>、政府采购违法行为风险知悉确认书》）。该文件由负责人或投标授权代表签字并加盖单位公章后，与投标文件一并提交。</w:t>
      </w:r>
    </w:p>
    <w:p w14:paraId="11DA183A">
      <w:pPr>
        <w:keepNext w:val="0"/>
        <w:pageBreakBefore w:val="0"/>
        <w:kinsoku/>
        <w:wordWrap/>
        <w:overflowPunct/>
        <w:topLinePunct w:val="0"/>
        <w:bidi w:val="0"/>
        <w:snapToGrid/>
        <w:spacing w:line="240" w:lineRule="auto"/>
        <w:textAlignment w:val="auto"/>
        <w:rPr>
          <w:rFonts w:hint="eastAsia" w:ascii="宋体" w:hAnsi="宋体" w:eastAsia="宋体" w:cs="宋体"/>
          <w:sz w:val="21"/>
          <w:szCs w:val="21"/>
        </w:rPr>
      </w:pPr>
    </w:p>
    <w:p w14:paraId="483AC911">
      <w:pPr>
        <w:spacing w:line="360" w:lineRule="auto"/>
        <w:jc w:val="both"/>
        <w:outlineLvl w:val="0"/>
        <w:rPr>
          <w:rFonts w:hint="eastAsia" w:ascii="宋体" w:hAnsi="宋体" w:cs="宋体"/>
          <w:b/>
          <w:bCs/>
          <w:kern w:val="0"/>
          <w:sz w:val="40"/>
          <w:szCs w:val="40"/>
        </w:rPr>
      </w:pPr>
    </w:p>
    <w:p w14:paraId="5A3C7488">
      <w:pPr>
        <w:spacing w:line="360" w:lineRule="auto"/>
        <w:jc w:val="both"/>
        <w:outlineLvl w:val="0"/>
        <w:rPr>
          <w:rFonts w:hint="eastAsia" w:ascii="宋体" w:hAnsi="宋体" w:cs="宋体"/>
          <w:b/>
          <w:bCs/>
          <w:kern w:val="0"/>
          <w:sz w:val="40"/>
          <w:szCs w:val="40"/>
        </w:rPr>
      </w:pPr>
    </w:p>
    <w:p w14:paraId="36A81485">
      <w:pPr>
        <w:spacing w:line="360" w:lineRule="auto"/>
        <w:jc w:val="both"/>
        <w:outlineLvl w:val="0"/>
        <w:rPr>
          <w:rFonts w:hint="eastAsia" w:ascii="宋体" w:hAnsi="宋体" w:cs="宋体"/>
          <w:b/>
          <w:bCs/>
          <w:kern w:val="0"/>
          <w:sz w:val="40"/>
          <w:szCs w:val="40"/>
        </w:rPr>
      </w:pPr>
    </w:p>
    <w:p w14:paraId="11B3C499">
      <w:pPr>
        <w:spacing w:line="360" w:lineRule="auto"/>
        <w:jc w:val="both"/>
        <w:outlineLvl w:val="0"/>
        <w:rPr>
          <w:rFonts w:hint="eastAsia" w:ascii="宋体" w:hAnsi="宋体" w:cs="宋体"/>
          <w:b/>
          <w:bCs/>
          <w:kern w:val="0"/>
          <w:sz w:val="40"/>
          <w:szCs w:val="40"/>
        </w:rPr>
      </w:pPr>
    </w:p>
    <w:p w14:paraId="5EF6D68E">
      <w:pPr>
        <w:spacing w:line="360" w:lineRule="auto"/>
        <w:jc w:val="both"/>
        <w:outlineLvl w:val="0"/>
        <w:rPr>
          <w:rFonts w:hint="eastAsia" w:ascii="宋体" w:hAnsi="宋体" w:cs="宋体"/>
          <w:b/>
          <w:bCs/>
          <w:kern w:val="0"/>
          <w:sz w:val="40"/>
          <w:szCs w:val="40"/>
        </w:rPr>
      </w:pPr>
    </w:p>
    <w:p w14:paraId="30D1B535">
      <w:pPr>
        <w:spacing w:line="360" w:lineRule="auto"/>
        <w:jc w:val="both"/>
        <w:outlineLvl w:val="0"/>
        <w:rPr>
          <w:rFonts w:hint="eastAsia" w:ascii="宋体" w:hAnsi="宋体" w:cs="宋体"/>
          <w:b/>
          <w:bCs/>
          <w:kern w:val="0"/>
          <w:sz w:val="40"/>
          <w:szCs w:val="40"/>
        </w:rPr>
      </w:pPr>
    </w:p>
    <w:p w14:paraId="2AC20749">
      <w:pPr>
        <w:spacing w:line="360" w:lineRule="auto"/>
        <w:jc w:val="both"/>
        <w:outlineLvl w:val="0"/>
        <w:rPr>
          <w:rFonts w:hint="eastAsia" w:ascii="宋体" w:hAnsi="宋体" w:cs="宋体"/>
          <w:b/>
          <w:bCs/>
          <w:kern w:val="0"/>
          <w:sz w:val="40"/>
          <w:szCs w:val="40"/>
        </w:rPr>
      </w:pPr>
    </w:p>
    <w:p w14:paraId="12072607">
      <w:pPr>
        <w:spacing w:line="360" w:lineRule="auto"/>
        <w:jc w:val="both"/>
        <w:outlineLvl w:val="0"/>
        <w:rPr>
          <w:rFonts w:hint="eastAsia" w:ascii="宋体" w:hAnsi="宋体" w:cs="宋体"/>
          <w:b/>
          <w:bCs/>
          <w:kern w:val="0"/>
          <w:sz w:val="40"/>
          <w:szCs w:val="40"/>
        </w:rPr>
      </w:pPr>
    </w:p>
    <w:p w14:paraId="57375B96">
      <w:pPr>
        <w:spacing w:line="360" w:lineRule="auto"/>
        <w:jc w:val="center"/>
        <w:outlineLvl w:val="0"/>
        <w:rPr>
          <w:rFonts w:hint="eastAsia" w:ascii="宋体" w:hAnsi="宋体" w:cs="宋体"/>
          <w:b/>
          <w:bCs/>
          <w:kern w:val="0"/>
          <w:sz w:val="40"/>
          <w:szCs w:val="40"/>
        </w:rPr>
      </w:pPr>
    </w:p>
    <w:p w14:paraId="222A2958">
      <w:pPr>
        <w:spacing w:line="360" w:lineRule="auto"/>
        <w:jc w:val="center"/>
        <w:outlineLvl w:val="0"/>
        <w:rPr>
          <w:rFonts w:hint="eastAsia" w:ascii="宋体" w:hAnsi="宋体" w:cs="宋体"/>
          <w:b/>
          <w:bCs/>
          <w:kern w:val="0"/>
          <w:sz w:val="40"/>
          <w:szCs w:val="40"/>
        </w:rPr>
      </w:pPr>
      <w:r>
        <w:rPr>
          <w:rFonts w:hint="eastAsia" w:ascii="宋体" w:hAnsi="宋体" w:cs="宋体"/>
          <w:b/>
          <w:bCs/>
          <w:kern w:val="0"/>
          <w:sz w:val="40"/>
          <w:szCs w:val="40"/>
        </w:rPr>
        <w:t>项目需求书</w:t>
      </w:r>
    </w:p>
    <w:p w14:paraId="60A84CF9">
      <w:pPr>
        <w:spacing w:line="360" w:lineRule="auto"/>
        <w:jc w:val="center"/>
        <w:outlineLvl w:val="0"/>
        <w:rPr>
          <w:rFonts w:hint="eastAsia" w:ascii="宋体" w:hAnsi="宋体" w:eastAsia="宋体" w:cs="宋体"/>
          <w:b/>
          <w:bCs/>
          <w:kern w:val="0"/>
          <w:sz w:val="40"/>
          <w:szCs w:val="40"/>
        </w:rPr>
      </w:pPr>
      <w:r>
        <w:rPr>
          <w:rFonts w:hint="eastAsia" w:ascii="宋体" w:hAnsi="宋体" w:eastAsia="宋体" w:cs="宋体"/>
          <w:b/>
          <w:bCs/>
          <w:kern w:val="0"/>
          <w:sz w:val="40"/>
          <w:szCs w:val="40"/>
          <w:lang w:eastAsia="zh-CN"/>
        </w:rPr>
        <w:t>正电子药物及药物生产委托服务</w:t>
      </w:r>
    </w:p>
    <w:p w14:paraId="1A8A4C96">
      <w:pPr>
        <w:numPr>
          <w:ilvl w:val="0"/>
          <w:numId w:val="1"/>
        </w:numPr>
        <w:spacing w:line="360" w:lineRule="auto"/>
        <w:jc w:val="center"/>
        <w:outlineLvl w:val="0"/>
        <w:rPr>
          <w:rFonts w:hint="eastAsia" w:ascii="宋体" w:hAnsi="宋体" w:cs="宋体"/>
          <w:b/>
          <w:bCs/>
          <w:kern w:val="0"/>
          <w:sz w:val="28"/>
          <w:szCs w:val="28"/>
        </w:rPr>
      </w:pPr>
      <w:r>
        <w:rPr>
          <w:rFonts w:hint="eastAsia" w:ascii="宋体" w:hAnsi="宋体" w:cs="宋体"/>
          <w:b/>
          <w:bCs/>
          <w:kern w:val="0"/>
          <w:sz w:val="28"/>
          <w:szCs w:val="28"/>
        </w:rPr>
        <w:t>项目采购内容</w:t>
      </w:r>
    </w:p>
    <w:p w14:paraId="1EB57FF1">
      <w:pPr>
        <w:numPr>
          <w:ilvl w:val="0"/>
          <w:numId w:val="2"/>
        </w:numPr>
        <w:spacing w:line="360" w:lineRule="auto"/>
        <w:ind w:left="420"/>
        <w:outlineLvl w:val="1"/>
        <w:rPr>
          <w:rFonts w:hint="eastAsia" w:ascii="宋体" w:hAnsi="宋体" w:cs="宋体"/>
          <w:b/>
          <w:bCs/>
          <w:kern w:val="0"/>
          <w:szCs w:val="21"/>
        </w:rPr>
      </w:pPr>
      <w:r>
        <w:rPr>
          <w:rFonts w:hint="eastAsia" w:ascii="宋体" w:hAnsi="宋体" w:cs="宋体"/>
          <w:b/>
          <w:bCs/>
          <w:kern w:val="0"/>
          <w:szCs w:val="21"/>
          <w:lang w:eastAsia="zh-CN"/>
        </w:rPr>
        <w:t>项目</w:t>
      </w:r>
      <w:r>
        <w:rPr>
          <w:rFonts w:hint="eastAsia" w:ascii="宋体" w:hAnsi="宋体" w:cs="宋体"/>
          <w:b/>
          <w:bCs/>
          <w:kern w:val="0"/>
          <w:szCs w:val="21"/>
        </w:rPr>
        <w:t>内容及要求</w:t>
      </w:r>
    </w:p>
    <w:tbl>
      <w:tblPr>
        <w:tblStyle w:val="10"/>
        <w:tblpPr w:leftFromText="180" w:rightFromText="180" w:vertAnchor="text" w:horzAnchor="page" w:tblpX="1783" w:tblpY="27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47"/>
        <w:gridCol w:w="670"/>
        <w:gridCol w:w="689"/>
        <w:gridCol w:w="1630"/>
        <w:gridCol w:w="1630"/>
        <w:gridCol w:w="1631"/>
      </w:tblGrid>
      <w:tr w14:paraId="121B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5" w:type="pct"/>
            <w:vAlign w:val="center"/>
          </w:tcPr>
          <w:p w14:paraId="50F056B7">
            <w:pPr>
              <w:widowControl/>
              <w:spacing w:line="360" w:lineRule="auto"/>
              <w:jc w:val="center"/>
              <w:rPr>
                <w:rFonts w:hint="eastAsia" w:ascii="宋体" w:hAnsi="宋体" w:cs="宋体"/>
                <w:b/>
                <w:bCs/>
                <w:szCs w:val="21"/>
              </w:rPr>
            </w:pPr>
            <w:r>
              <w:rPr>
                <w:rFonts w:hint="eastAsia" w:ascii="宋体" w:hAnsi="宋体" w:cs="宋体"/>
                <w:b/>
                <w:bCs/>
                <w:szCs w:val="21"/>
              </w:rPr>
              <w:t>序号</w:t>
            </w:r>
          </w:p>
        </w:tc>
        <w:tc>
          <w:tcPr>
            <w:tcW w:w="966" w:type="pct"/>
            <w:vAlign w:val="center"/>
          </w:tcPr>
          <w:p w14:paraId="4505AA55">
            <w:pPr>
              <w:widowControl/>
              <w:spacing w:line="360" w:lineRule="auto"/>
              <w:jc w:val="center"/>
              <w:rPr>
                <w:rFonts w:hint="eastAsia"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393" w:type="pct"/>
            <w:vAlign w:val="center"/>
          </w:tcPr>
          <w:p w14:paraId="01599AAC">
            <w:pPr>
              <w:widowControl/>
              <w:spacing w:line="360" w:lineRule="auto"/>
              <w:jc w:val="center"/>
              <w:rPr>
                <w:rFonts w:hint="eastAsia" w:ascii="宋体" w:hAnsi="宋体" w:cs="宋体"/>
                <w:b/>
                <w:bCs/>
                <w:szCs w:val="21"/>
              </w:rPr>
            </w:pPr>
            <w:r>
              <w:rPr>
                <w:rFonts w:hint="eastAsia" w:ascii="宋体" w:hAnsi="宋体" w:cs="宋体"/>
                <w:b/>
                <w:bCs/>
                <w:szCs w:val="21"/>
              </w:rPr>
              <w:t>数量</w:t>
            </w:r>
          </w:p>
        </w:tc>
        <w:tc>
          <w:tcPr>
            <w:tcW w:w="404" w:type="pct"/>
            <w:vAlign w:val="center"/>
          </w:tcPr>
          <w:p w14:paraId="51A8A4CA">
            <w:pPr>
              <w:widowControl/>
              <w:spacing w:line="360" w:lineRule="auto"/>
              <w:jc w:val="center"/>
              <w:rPr>
                <w:rFonts w:hint="eastAsia" w:ascii="宋体" w:hAnsi="宋体" w:cs="宋体"/>
                <w:b/>
                <w:bCs/>
                <w:szCs w:val="21"/>
              </w:rPr>
            </w:pPr>
            <w:r>
              <w:rPr>
                <w:rFonts w:hint="eastAsia" w:ascii="宋体" w:hAnsi="宋体" w:cs="宋体"/>
                <w:b/>
                <w:bCs/>
                <w:szCs w:val="21"/>
              </w:rPr>
              <w:t>单位</w:t>
            </w:r>
          </w:p>
        </w:tc>
        <w:tc>
          <w:tcPr>
            <w:tcW w:w="956" w:type="pct"/>
            <w:vAlign w:val="center"/>
          </w:tcPr>
          <w:p w14:paraId="07309A93">
            <w:pPr>
              <w:widowControl/>
              <w:spacing w:line="360" w:lineRule="auto"/>
              <w:jc w:val="center"/>
              <w:rPr>
                <w:rFonts w:hint="eastAsia" w:ascii="宋体" w:hAnsi="宋体" w:cs="宋体"/>
                <w:b/>
                <w:bCs/>
                <w:szCs w:val="21"/>
              </w:rPr>
            </w:pPr>
            <w:r>
              <w:rPr>
                <w:rFonts w:hint="eastAsia" w:ascii="宋体" w:hAnsi="宋体" w:cs="宋体"/>
                <w:b/>
                <w:bCs/>
                <w:szCs w:val="21"/>
              </w:rPr>
              <w:t>预算限额（元）</w:t>
            </w:r>
          </w:p>
        </w:tc>
        <w:tc>
          <w:tcPr>
            <w:tcW w:w="956" w:type="pct"/>
            <w:vAlign w:val="center"/>
          </w:tcPr>
          <w:p w14:paraId="7F28EE06">
            <w:pPr>
              <w:widowControl/>
              <w:spacing w:line="360" w:lineRule="auto"/>
              <w:jc w:val="center"/>
              <w:rPr>
                <w:rFonts w:hint="eastAsia" w:ascii="宋体" w:hAnsi="宋体" w:eastAsia="宋体" w:cs="宋体"/>
                <w:b/>
                <w:bCs/>
                <w:szCs w:val="21"/>
                <w:lang w:eastAsia="zh-CN"/>
              </w:rPr>
            </w:pPr>
            <w:r>
              <w:rPr>
                <w:rFonts w:hint="eastAsia" w:ascii="宋体" w:hAnsi="宋体" w:cs="宋体"/>
                <w:b/>
                <w:bCs/>
                <w:szCs w:val="21"/>
                <w:lang w:eastAsia="zh-CN"/>
              </w:rPr>
              <w:t>备注</w:t>
            </w:r>
          </w:p>
        </w:tc>
        <w:tc>
          <w:tcPr>
            <w:tcW w:w="956" w:type="pct"/>
            <w:vAlign w:val="center"/>
          </w:tcPr>
          <w:p w14:paraId="4B3BA3C6">
            <w:pPr>
              <w:widowControl/>
              <w:spacing w:line="360" w:lineRule="auto"/>
              <w:jc w:val="center"/>
              <w:rPr>
                <w:rFonts w:hint="eastAsia" w:ascii="宋体" w:hAnsi="宋体" w:cs="宋体"/>
                <w:b/>
                <w:bCs/>
                <w:szCs w:val="21"/>
                <w:lang w:eastAsia="zh-CN"/>
              </w:rPr>
            </w:pPr>
            <w:r>
              <w:rPr>
                <w:rFonts w:hint="eastAsia" w:ascii="宋体" w:hAnsi="宋体" w:cs="宋体"/>
                <w:b/>
                <w:bCs/>
                <w:szCs w:val="21"/>
                <w:lang w:eastAsia="zh-CN"/>
              </w:rPr>
              <w:t>进口情况</w:t>
            </w:r>
          </w:p>
        </w:tc>
      </w:tr>
      <w:tr w14:paraId="1881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65" w:type="pct"/>
          </w:tcPr>
          <w:p w14:paraId="05E267AA">
            <w:pPr>
              <w:widowControl/>
              <w:spacing w:line="360" w:lineRule="auto"/>
              <w:jc w:val="center"/>
              <w:rPr>
                <w:rFonts w:hint="eastAsia" w:ascii="宋体" w:hAnsi="宋体" w:cs="宋体"/>
                <w:bCs/>
                <w:szCs w:val="21"/>
              </w:rPr>
            </w:pPr>
            <w:r>
              <w:rPr>
                <w:rFonts w:hint="eastAsia" w:ascii="宋体" w:hAnsi="宋体" w:cs="宋体"/>
                <w:bCs/>
                <w:szCs w:val="21"/>
              </w:rPr>
              <w:t>1</w:t>
            </w:r>
          </w:p>
        </w:tc>
        <w:tc>
          <w:tcPr>
            <w:tcW w:w="966" w:type="pct"/>
            <w:vAlign w:val="center"/>
          </w:tcPr>
          <w:p w14:paraId="5A46F9ED">
            <w:pPr>
              <w:widowControl/>
              <w:spacing w:line="360" w:lineRule="auto"/>
              <w:jc w:val="center"/>
              <w:rPr>
                <w:rFonts w:hint="eastAsia" w:ascii="宋体" w:hAnsi="宋体" w:cs="宋体"/>
                <w:szCs w:val="21"/>
              </w:rPr>
            </w:pPr>
            <w:r>
              <w:rPr>
                <w:rFonts w:hint="eastAsia" w:ascii="宋体" w:hAnsi="宋体" w:cs="宋体"/>
                <w:szCs w:val="21"/>
              </w:rPr>
              <w:t>正电子药物采购及技术合作</w:t>
            </w:r>
          </w:p>
        </w:tc>
        <w:tc>
          <w:tcPr>
            <w:tcW w:w="393" w:type="pct"/>
            <w:vAlign w:val="center"/>
          </w:tcPr>
          <w:p w14:paraId="0F8F2126">
            <w:pPr>
              <w:widowControl/>
              <w:spacing w:line="360" w:lineRule="auto"/>
              <w:jc w:val="center"/>
              <w:rPr>
                <w:rFonts w:hint="eastAsia" w:ascii="宋体" w:hAnsi="宋体" w:cs="宋体"/>
                <w:szCs w:val="21"/>
              </w:rPr>
            </w:pPr>
            <w:r>
              <w:rPr>
                <w:rFonts w:hint="eastAsia" w:ascii="宋体" w:hAnsi="宋体" w:cs="宋体"/>
                <w:szCs w:val="21"/>
              </w:rPr>
              <w:t>1</w:t>
            </w:r>
          </w:p>
        </w:tc>
        <w:tc>
          <w:tcPr>
            <w:tcW w:w="404" w:type="pct"/>
            <w:vAlign w:val="center"/>
          </w:tcPr>
          <w:p w14:paraId="633395D9">
            <w:pPr>
              <w:widowControl/>
              <w:spacing w:line="360" w:lineRule="auto"/>
              <w:jc w:val="center"/>
              <w:rPr>
                <w:rFonts w:hint="eastAsia" w:ascii="宋体" w:hAnsi="宋体" w:cs="宋体"/>
                <w:szCs w:val="21"/>
              </w:rPr>
            </w:pPr>
            <w:r>
              <w:rPr>
                <w:rFonts w:hint="eastAsia" w:ascii="宋体" w:hAnsi="宋体" w:cs="宋体"/>
                <w:szCs w:val="21"/>
              </w:rPr>
              <w:t>批</w:t>
            </w:r>
          </w:p>
        </w:tc>
        <w:tc>
          <w:tcPr>
            <w:tcW w:w="956" w:type="pct"/>
            <w:vAlign w:val="center"/>
          </w:tcPr>
          <w:p w14:paraId="499ABC5B">
            <w:pPr>
              <w:widowControl/>
              <w:spacing w:line="360" w:lineRule="auto"/>
              <w:jc w:val="center"/>
              <w:rPr>
                <w:rFonts w:hint="eastAsia" w:ascii="宋体" w:hAnsi="宋体" w:cs="宋体"/>
                <w:szCs w:val="21"/>
                <w:lang w:val="en-US" w:eastAsia="zh-CN"/>
              </w:rPr>
            </w:pPr>
            <w:r>
              <w:rPr>
                <w:rFonts w:hint="eastAsia" w:ascii="宋体" w:hAnsi="宋体" w:cs="宋体"/>
                <w:szCs w:val="21"/>
                <w:lang w:val="en-US" w:eastAsia="zh-CN"/>
              </w:rPr>
              <w:t>360万/年</w:t>
            </w:r>
          </w:p>
        </w:tc>
        <w:tc>
          <w:tcPr>
            <w:tcW w:w="956" w:type="pct"/>
            <w:vAlign w:val="center"/>
          </w:tcPr>
          <w:p w14:paraId="5DB02575">
            <w:pPr>
              <w:widowControl/>
              <w:spacing w:line="360" w:lineRule="auto"/>
              <w:jc w:val="center"/>
              <w:rPr>
                <w:rFonts w:hint="eastAsia" w:ascii="宋体" w:hAnsi="宋体" w:eastAsia="宋体" w:cs="宋体"/>
                <w:szCs w:val="21"/>
                <w:lang w:val="en-US" w:eastAsia="zh-CN"/>
              </w:rPr>
            </w:pPr>
            <w:r>
              <w:t>氟[</w:t>
            </w:r>
            <w:r>
              <w:rPr>
                <w:rFonts w:hint="eastAsia"/>
              </w:rPr>
              <w:t>18F</w:t>
            </w:r>
            <w:r>
              <w:t>]脱氧葡糖注射液</w:t>
            </w:r>
            <w:r>
              <w:rPr>
                <w:rFonts w:hint="eastAsia"/>
                <w:lang w:eastAsia="zh-CN"/>
              </w:rPr>
              <w:t>（</w:t>
            </w:r>
            <w:r>
              <w:rPr>
                <w:rFonts w:hint="eastAsia"/>
              </w:rPr>
              <w:t>每人份（10mCi）</w:t>
            </w:r>
            <w:r>
              <w:rPr>
                <w:rFonts w:hint="eastAsia"/>
                <w:lang w:eastAsia="zh-CN"/>
              </w:rPr>
              <w:t>），单价不得高于</w:t>
            </w:r>
            <w:r>
              <w:rPr>
                <w:rFonts w:hint="eastAsia"/>
                <w:lang w:val="en-US" w:eastAsia="zh-CN"/>
              </w:rPr>
              <w:t>1000元/</w:t>
            </w:r>
            <w:r>
              <w:rPr>
                <w:rFonts w:hint="eastAsia"/>
              </w:rPr>
              <w:t>每人份（10mCi）</w:t>
            </w:r>
          </w:p>
        </w:tc>
        <w:tc>
          <w:tcPr>
            <w:tcW w:w="956" w:type="pct"/>
            <w:vAlign w:val="center"/>
          </w:tcPr>
          <w:p w14:paraId="4AE48261">
            <w:pPr>
              <w:widowControl/>
              <w:spacing w:line="360" w:lineRule="auto"/>
              <w:jc w:val="center"/>
              <w:rPr>
                <w:rFonts w:hint="eastAsia" w:eastAsia="宋体"/>
                <w:lang w:eastAsia="zh-CN"/>
              </w:rPr>
            </w:pPr>
            <w:r>
              <w:rPr>
                <w:rFonts w:hint="eastAsia"/>
                <w:lang w:eastAsia="zh-CN"/>
              </w:rPr>
              <w:t>拒绝进口</w:t>
            </w:r>
          </w:p>
        </w:tc>
      </w:tr>
    </w:tbl>
    <w:p w14:paraId="75255F9E">
      <w:pPr>
        <w:widowControl/>
        <w:spacing w:line="360" w:lineRule="auto"/>
        <w:rPr>
          <w:rFonts w:hint="eastAsia" w:ascii="宋体" w:hAnsi="宋体" w:cs="宋体"/>
          <w:bCs/>
          <w:szCs w:val="21"/>
        </w:rPr>
      </w:pPr>
      <w:r>
        <w:rPr>
          <w:rFonts w:hint="eastAsia" w:ascii="宋体" w:hAnsi="宋体" w:cs="宋体"/>
          <w:bCs/>
          <w:szCs w:val="21"/>
        </w:rPr>
        <w:t>备注：</w:t>
      </w:r>
    </w:p>
    <w:p w14:paraId="64E50C5B">
      <w:pPr>
        <w:widowControl/>
        <w:spacing w:line="360" w:lineRule="auto"/>
        <w:rPr>
          <w:rFonts w:hint="eastAsia" w:ascii="宋体" w:hAnsi="宋体" w:cs="宋体"/>
          <w:bCs/>
          <w:szCs w:val="21"/>
        </w:rPr>
      </w:pPr>
      <w:r>
        <w:rPr>
          <w:rFonts w:hint="eastAsia" w:ascii="宋体" w:hAnsi="宋体" w:cs="宋体"/>
          <w:bCs/>
          <w:szCs w:val="21"/>
        </w:rPr>
        <w:t>1.注明“接受进口”的产品允许供应商选用进口产品参与投标，但不排斥国内产品。</w:t>
      </w:r>
    </w:p>
    <w:p w14:paraId="5D962B57">
      <w:pPr>
        <w:widowControl/>
        <w:spacing w:line="360" w:lineRule="auto"/>
        <w:rPr>
          <w:rFonts w:hint="eastAsia" w:ascii="宋体" w:hAnsi="宋体" w:cs="宋体"/>
          <w:bCs/>
          <w:szCs w:val="21"/>
        </w:rPr>
      </w:pPr>
      <w:r>
        <w:rPr>
          <w:rFonts w:hint="eastAsia" w:ascii="宋体" w:hAnsi="宋体" w:cs="宋体"/>
          <w:bCs/>
          <w:szCs w:val="21"/>
        </w:rPr>
        <w:t>2.未注明“接受进口”的产品均不接受供应商选用进口产品参与投标。</w:t>
      </w:r>
    </w:p>
    <w:p w14:paraId="020E0364">
      <w:pPr>
        <w:widowControl/>
        <w:spacing w:line="360" w:lineRule="auto"/>
        <w:rPr>
          <w:rFonts w:hint="eastAsia" w:ascii="宋体" w:hAnsi="宋体" w:cs="宋体"/>
          <w:bCs/>
          <w:szCs w:val="21"/>
        </w:rPr>
      </w:pPr>
      <w:r>
        <w:rPr>
          <w:rFonts w:hint="eastAsia" w:ascii="宋体" w:hAnsi="宋体" w:cs="宋体"/>
          <w:bCs/>
          <w:szCs w:val="21"/>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4024955">
      <w:pPr>
        <w:widowControl/>
        <w:spacing w:line="360" w:lineRule="auto"/>
        <w:rPr>
          <w:rFonts w:hint="eastAsia" w:ascii="宋体" w:hAnsi="宋体" w:cs="宋体"/>
          <w:szCs w:val="21"/>
        </w:rPr>
      </w:pPr>
      <w:r>
        <w:rPr>
          <w:rFonts w:hint="eastAsia" w:ascii="宋体" w:hAnsi="宋体" w:cs="宋体"/>
          <w:szCs w:val="21"/>
        </w:rPr>
        <w:t>4.以上价格应包含药物及所需附件的购置费、包装费、运输费、人工费、保险费、各种税费、验收费、售后服务费及合同实施过程中的应预见和不可预见费用等完成合同规定责任和义务、达到合同目的的一切费用。</w:t>
      </w:r>
    </w:p>
    <w:p w14:paraId="6500D070">
      <w:pPr>
        <w:widowControl/>
        <w:spacing w:line="360" w:lineRule="auto"/>
        <w:rPr>
          <w:rFonts w:hint="eastAsia" w:ascii="宋体" w:hAnsi="宋体" w:cs="宋体"/>
          <w:b/>
          <w:kern w:val="0"/>
          <w:sz w:val="24"/>
          <w:szCs w:val="24"/>
        </w:rPr>
      </w:pPr>
      <w:r>
        <w:rPr>
          <w:rFonts w:hint="eastAsia" w:ascii="宋体" w:hAnsi="宋体" w:cs="宋体"/>
          <w:b/>
          <w:kern w:val="0"/>
          <w:sz w:val="24"/>
          <w:szCs w:val="24"/>
          <w:lang w:eastAsia="zh-CN"/>
        </w:rPr>
        <w:t>（二）</w:t>
      </w:r>
      <w:r>
        <w:rPr>
          <w:rFonts w:hint="eastAsia" w:ascii="宋体" w:hAnsi="宋体" w:cs="宋体"/>
          <w:b/>
          <w:kern w:val="0"/>
          <w:sz w:val="24"/>
          <w:szCs w:val="24"/>
        </w:rPr>
        <w:t>服务要求</w:t>
      </w:r>
    </w:p>
    <w:p w14:paraId="34BE7446">
      <w:pPr>
        <w:pStyle w:val="3"/>
      </w:pPr>
      <w:r>
        <w:rPr>
          <w:rFonts w:hint="eastAsia" w:ascii="宋体" w:hAnsi="宋体" w:cs="宋体"/>
          <w:szCs w:val="21"/>
        </w:rPr>
        <w:t>说明：带“★”指标项为实质性条款，如出现负偏离，将被视为未实质性满足招标文件要求作投标无效处理。带“▲”指标项为重要参数，负偏离时依相关评分准则内容作重点扣分处理。</w:t>
      </w:r>
    </w:p>
    <w:p w14:paraId="5A1C2363">
      <w:pPr>
        <w:widowControl/>
        <w:spacing w:line="360" w:lineRule="auto"/>
        <w:rPr>
          <w:rFonts w:hint="eastAsia" w:ascii="宋体" w:hAnsi="宋体" w:cs="宋体"/>
          <w:szCs w:val="21"/>
        </w:rPr>
      </w:pPr>
      <w:r>
        <w:rPr>
          <w:rFonts w:hint="eastAsia" w:ascii="宋体" w:hAnsi="宋体" w:cs="宋体"/>
          <w:szCs w:val="21"/>
        </w:rPr>
        <w:t>★1.</w:t>
      </w:r>
      <w:r>
        <w:rPr>
          <w:rFonts w:hint="eastAsia" w:ascii="宋体" w:hAnsi="宋体" w:cs="宋体"/>
          <w:b w:val="0"/>
          <w:bCs w:val="0"/>
          <w:szCs w:val="21"/>
        </w:rPr>
        <w:t>投标人或者投标人所委托的药品运输单位具有有效的《道路运输经营许可证》或者《放射性物品道路运输许可证》。（提供证书扫描件）</w:t>
      </w:r>
    </w:p>
    <w:p w14:paraId="6CB43262">
      <w:pPr>
        <w:widowControl/>
        <w:spacing w:line="360" w:lineRule="auto"/>
        <w:rPr>
          <w:rFonts w:hint="eastAsia" w:ascii="宋体" w:hAnsi="宋体" w:cs="宋体"/>
          <w:szCs w:val="21"/>
        </w:rPr>
      </w:pPr>
      <w:r>
        <w:rPr>
          <w:rFonts w:hint="eastAsia" w:ascii="宋体" w:hAnsi="宋体" w:cs="宋体"/>
          <w:szCs w:val="21"/>
        </w:rPr>
        <w:t>★2.用于药品运输的车辆及人员必须满足《放射性物品道路运输管理规定》中的相关规定。</w:t>
      </w:r>
    </w:p>
    <w:p w14:paraId="63C2097D">
      <w:pPr>
        <w:widowControl/>
        <w:spacing w:line="360" w:lineRule="auto"/>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投标</w:t>
      </w:r>
      <w:r>
        <w:rPr>
          <w:rFonts w:hint="eastAsia" w:ascii="宋体" w:hAnsi="宋体" w:cs="宋体"/>
          <w:szCs w:val="21"/>
        </w:rPr>
        <w:t>人所提供的药品是所代表品牌厂商生产的、包装完好的药品。</w:t>
      </w:r>
    </w:p>
    <w:p w14:paraId="6AC59AFE">
      <w:pPr>
        <w:widowControl/>
        <w:spacing w:line="360" w:lineRule="auto"/>
        <w:rPr>
          <w:rFonts w:hint="eastAsia" w:ascii="宋体" w:hAnsi="宋体" w:cs="宋体"/>
          <w:szCs w:val="21"/>
        </w:rPr>
      </w:pPr>
      <w:r>
        <w:rPr>
          <w:rFonts w:hint="eastAsia" w:ascii="宋体" w:hAnsi="宋体" w:cs="宋体"/>
          <w:szCs w:val="21"/>
        </w:rPr>
        <w:t>★4.本项目采购的所有药品须符合现行版《中华人民共和国药典》及国家标准。</w:t>
      </w:r>
    </w:p>
    <w:p w14:paraId="18498535">
      <w:pPr>
        <w:widowControl/>
        <w:spacing w:line="360" w:lineRule="auto"/>
        <w:rPr>
          <w:rFonts w:hint="eastAsia" w:ascii="宋体" w:hAnsi="宋体" w:cs="宋体"/>
          <w:szCs w:val="21"/>
        </w:rPr>
      </w:pPr>
      <w:r>
        <w:rPr>
          <w:rFonts w:hint="eastAsia" w:ascii="宋体" w:hAnsi="宋体" w:cs="宋体"/>
          <w:szCs w:val="21"/>
        </w:rPr>
        <w:t>5.每种放射性药品含内外标签，并清楚标明：内外标签一致的编号、药物名称、剂量、校准的时间、有效期限、批号、生产单位。</w:t>
      </w:r>
    </w:p>
    <w:p w14:paraId="03331ADF">
      <w:pPr>
        <w:widowControl/>
        <w:spacing w:line="360" w:lineRule="auto"/>
        <w:rPr>
          <w:rFonts w:hint="eastAsia" w:ascii="宋体" w:hAnsi="宋体" w:cs="宋体"/>
          <w:szCs w:val="21"/>
        </w:rPr>
      </w:pPr>
      <w:r>
        <w:rPr>
          <w:rFonts w:hint="eastAsia" w:ascii="宋体" w:hAnsi="宋体" w:cs="宋体"/>
          <w:szCs w:val="21"/>
        </w:rPr>
        <w:t>6.投标人所投产品内外包装均须符合国家规定的放射性药品运输要求。</w:t>
      </w:r>
    </w:p>
    <w:p w14:paraId="7B6B6A90">
      <w:pPr>
        <w:widowControl/>
        <w:spacing w:line="360" w:lineRule="auto"/>
        <w:rPr>
          <w:rFonts w:hint="eastAsia" w:ascii="宋体" w:hAnsi="宋体" w:cs="宋体"/>
          <w:szCs w:val="21"/>
        </w:rPr>
      </w:pPr>
      <w:r>
        <w:rPr>
          <w:rFonts w:hint="eastAsia" w:ascii="宋体" w:hAnsi="宋体" w:cs="宋体"/>
          <w:szCs w:val="21"/>
        </w:rPr>
        <w:t>7.供货时还需提供产品合格证明或检验报告书，以及产品使用说明书。</w:t>
      </w:r>
    </w:p>
    <w:p w14:paraId="3BAECBB4">
      <w:pPr>
        <w:widowControl/>
        <w:spacing w:line="360" w:lineRule="auto"/>
        <w:rPr>
          <w:rFonts w:hint="eastAsia" w:ascii="宋体" w:hAnsi="宋体" w:eastAsia="宋体" w:cs="宋体"/>
          <w:szCs w:val="21"/>
          <w:lang w:eastAsia="zh-CN"/>
        </w:rPr>
      </w:pPr>
      <w:r>
        <w:rPr>
          <w:rFonts w:hint="eastAsia" w:ascii="宋体" w:hAnsi="宋体" w:cs="宋体"/>
          <w:szCs w:val="21"/>
        </w:rPr>
        <w:t>8.药物有异常的情况（例如：剂量不符、目测药物异常、溢岀/外漏、QC不达标、辐射感染、包装破损、过期等），</w:t>
      </w:r>
      <w:r>
        <w:rPr>
          <w:rFonts w:hint="eastAsia" w:ascii="宋体" w:hAnsi="宋体" w:cs="宋体"/>
          <w:szCs w:val="21"/>
          <w:lang w:eastAsia="zh-CN"/>
        </w:rPr>
        <w:t>投标</w:t>
      </w:r>
      <w:r>
        <w:rPr>
          <w:rFonts w:hint="eastAsia" w:ascii="宋体" w:hAnsi="宋体" w:cs="宋体"/>
          <w:szCs w:val="21"/>
        </w:rPr>
        <w:t>人需免费回收，并重新提供相应种类、数量的合格药品。</w:t>
      </w:r>
      <w:r>
        <w:rPr>
          <w:rFonts w:hint="eastAsia" w:ascii="宋体" w:hAnsi="宋体" w:cs="宋体"/>
          <w:szCs w:val="21"/>
          <w:lang w:eastAsia="zh-CN"/>
        </w:rPr>
        <w:t>若因投标人原因出现医疗纠纷，由投标人自行负责赔偿。</w:t>
      </w:r>
    </w:p>
    <w:p w14:paraId="2F8C88EB">
      <w:pPr>
        <w:widowControl/>
        <w:spacing w:line="360" w:lineRule="auto"/>
        <w:rPr>
          <w:rFonts w:hint="eastAsia" w:ascii="宋体" w:hAnsi="宋体" w:cs="宋体"/>
          <w:szCs w:val="21"/>
        </w:rPr>
      </w:pPr>
      <w:r>
        <w:rPr>
          <w:rFonts w:hint="eastAsia" w:ascii="宋体" w:hAnsi="宋体" w:cs="宋体"/>
          <w:szCs w:val="21"/>
        </w:rPr>
        <w:t>9.服务期内，如果出现中标人无法供货的情形，采购人有权另行采购所需的药品。如中标人多次或长期无法供货的，采购人有权终止合同；情节严重的，采购人有权追究其相关法律责任，并要求赔偿。</w:t>
      </w:r>
    </w:p>
    <w:p w14:paraId="7C062B0C">
      <w:pPr>
        <w:widowControl/>
        <w:rPr>
          <w:rFonts w:hint="eastAsia" w:ascii="宋体" w:hAnsi="宋体" w:cs="宋体"/>
          <w:b w:val="0"/>
          <w:bCs w:val="0"/>
          <w:sz w:val="21"/>
          <w:szCs w:val="21"/>
        </w:rPr>
      </w:pPr>
      <w:r>
        <w:rPr>
          <w:rFonts w:hint="eastAsia"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0</w:t>
      </w:r>
      <w:r>
        <w:rPr>
          <w:rFonts w:hint="eastAsia" w:ascii="宋体" w:hAnsi="宋体" w:eastAsia="宋体" w:cs="宋体"/>
          <w:b w:val="0"/>
          <w:bCs w:val="0"/>
          <w:kern w:val="2"/>
          <w:sz w:val="21"/>
          <w:szCs w:val="21"/>
          <w:lang w:val="en-US" w:eastAsia="zh-CN" w:bidi="ar-SA"/>
        </w:rPr>
        <w:t>.</w:t>
      </w:r>
      <w:r>
        <w:rPr>
          <w:rFonts w:hint="eastAsia" w:ascii="宋体" w:hAnsi="宋体" w:cs="宋体"/>
          <w:b w:val="0"/>
          <w:bCs w:val="0"/>
          <w:sz w:val="21"/>
          <w:szCs w:val="21"/>
        </w:rPr>
        <w:t>提供科研支持方案。</w:t>
      </w:r>
    </w:p>
    <w:p w14:paraId="657524A5">
      <w:pPr>
        <w:widowControl/>
        <w:spacing w:line="360" w:lineRule="auto"/>
        <w:rPr>
          <w:rFonts w:hint="eastAsia" w:ascii="宋体" w:hAnsi="宋体" w:eastAsia="宋体" w:cs="宋体"/>
          <w:szCs w:val="21"/>
          <w:lang w:val="en-US" w:eastAsia="zh-CN"/>
        </w:rPr>
      </w:pPr>
      <w:r>
        <w:rPr>
          <w:rFonts w:hint="eastAsia" w:ascii="宋体" w:hAnsi="宋体" w:cs="宋体"/>
          <w:b w:val="0"/>
          <w:bCs w:val="0"/>
          <w:sz w:val="21"/>
          <w:szCs w:val="21"/>
          <w:lang w:val="en-US" w:eastAsia="zh-CN"/>
        </w:rPr>
        <w:t>11.药物生产委托技术要求</w:t>
      </w:r>
    </w:p>
    <w:p w14:paraId="155BE6E3">
      <w:pPr>
        <w:widowControl/>
        <w:adjustRightInd/>
        <w:snapToGrid/>
        <w:spacing w:after="0" w:line="360" w:lineRule="auto"/>
        <w:rPr>
          <w:rFonts w:hint="eastAsia" w:ascii="宋体" w:hAnsi="宋体" w:eastAsia="宋体" w:cs="宋体"/>
          <w:sz w:val="21"/>
          <w:szCs w:val="21"/>
          <w:lang w:eastAsia="zh-CN"/>
        </w:rPr>
      </w:pPr>
      <w:r>
        <w:rPr>
          <w:rFonts w:hint="eastAsia" w:ascii="宋体" w:hAnsi="宋体" w:cs="宋体"/>
          <w:b w:val="0"/>
          <w:bCs w:val="0"/>
          <w:sz w:val="21"/>
          <w:szCs w:val="21"/>
          <w:lang w:val="en-US"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1.1 具有药品监督局颁发的《放射性药品生产许可证》、《放射性药品经营许可证》</w:t>
      </w:r>
      <w:r>
        <w:rPr>
          <w:rFonts w:hint="eastAsia" w:ascii="宋体" w:hAnsi="宋体" w:cs="宋体"/>
          <w:sz w:val="21"/>
          <w:szCs w:val="21"/>
          <w:lang w:eastAsia="zh-CN"/>
        </w:rPr>
        <w:t>、《辐射安全许可证》</w:t>
      </w:r>
      <w:r>
        <w:rPr>
          <w:rFonts w:hint="eastAsia" w:ascii="宋体" w:hAnsi="宋体" w:eastAsia="宋体" w:cs="宋体"/>
          <w:sz w:val="21"/>
          <w:szCs w:val="21"/>
          <w:lang w:eastAsia="zh-CN"/>
        </w:rPr>
        <w:t>。</w:t>
      </w:r>
    </w:p>
    <w:p w14:paraId="1E562749">
      <w:pPr>
        <w:keepNext w:val="0"/>
        <w:keepLines w:val="0"/>
        <w:widowControl/>
        <w:suppressLineNumbers w:val="0"/>
        <w:spacing w:line="360" w:lineRule="auto"/>
        <w:jc w:val="left"/>
        <w:rPr>
          <w:rFonts w:hint="eastAsia" w:ascii="宋体" w:hAnsi="宋体" w:eastAsia="宋体" w:cs="宋体"/>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sz w:val="21"/>
          <w:szCs w:val="21"/>
          <w:lang w:eastAsia="zh-CN"/>
        </w:rPr>
        <w:t>1.2具有</w:t>
      </w:r>
      <w:r>
        <w:rPr>
          <w:rFonts w:hint="eastAsia" w:ascii="宋体" w:hAnsi="宋体" w:eastAsia="宋体" w:cs="宋体"/>
          <w:kern w:val="2"/>
          <w:sz w:val="21"/>
          <w:szCs w:val="21"/>
          <w:lang w:val="en-US" w:eastAsia="zh-CN" w:bidi="ar-SA"/>
        </w:rPr>
        <w:t>氟[18F]脱氧葡</w:t>
      </w:r>
      <w:r>
        <w:rPr>
          <w:rFonts w:hint="eastAsia" w:ascii="宋体" w:hAnsi="宋体" w:eastAsia="宋体" w:cs="宋体"/>
          <w:b w:val="0"/>
          <w:bCs w:val="0"/>
          <w:kern w:val="2"/>
          <w:sz w:val="21"/>
          <w:szCs w:val="21"/>
          <w:lang w:val="en-US" w:eastAsia="zh-CN" w:bidi="ar-SA"/>
        </w:rPr>
        <w:t>糖注射液</w:t>
      </w:r>
      <w:r>
        <w:rPr>
          <w:rFonts w:hint="eastAsia" w:ascii="宋体" w:hAnsi="宋体" w:eastAsia="宋体" w:cs="宋体"/>
          <w:sz w:val="21"/>
          <w:szCs w:val="21"/>
          <w:lang w:eastAsia="zh-CN"/>
        </w:rPr>
        <w:t>无菌放射性药品</w:t>
      </w:r>
      <w:r>
        <w:rPr>
          <w:rFonts w:hint="eastAsia" w:ascii="宋体" w:hAnsi="宋体" w:eastAsia="宋体" w:cs="宋体"/>
          <w:sz w:val="21"/>
          <w:szCs w:val="21"/>
          <w:lang w:val="en-US" w:eastAsia="zh-CN"/>
        </w:rPr>
        <w:t>GMP</w:t>
      </w:r>
      <w:r>
        <w:rPr>
          <w:rFonts w:hint="eastAsia" w:ascii="宋体" w:hAnsi="宋体" w:eastAsia="宋体" w:cs="宋体"/>
          <w:sz w:val="21"/>
          <w:szCs w:val="21"/>
          <w:lang w:eastAsia="zh-CN"/>
        </w:rPr>
        <w:t>生产车间5年及以上生产与质量管理经验（</w:t>
      </w:r>
      <w:r>
        <w:rPr>
          <w:rFonts w:hint="eastAsia" w:ascii="宋体" w:hAnsi="宋体" w:eastAsia="宋体" w:cs="宋体"/>
          <w:sz w:val="21"/>
          <w:szCs w:val="21"/>
          <w:lang w:val="en-US" w:eastAsia="zh-CN"/>
        </w:rPr>
        <w:t>需提供2021年以前已获批的《GMP证书》，或连续5年的</w:t>
      </w:r>
      <w:r>
        <w:rPr>
          <w:rFonts w:hint="eastAsia" w:ascii="宋体" w:hAnsi="宋体" w:eastAsia="宋体" w:cs="宋体"/>
          <w:kern w:val="2"/>
          <w:sz w:val="21"/>
          <w:szCs w:val="21"/>
          <w:lang w:val="en-US" w:eastAsia="zh-CN" w:bidi="ar-SA"/>
        </w:rPr>
        <w:t>氟[18F]脱氧葡</w:t>
      </w:r>
      <w:r>
        <w:rPr>
          <w:rFonts w:hint="eastAsia" w:ascii="宋体" w:hAnsi="宋体" w:eastAsia="宋体" w:cs="宋体"/>
          <w:b w:val="0"/>
          <w:bCs w:val="0"/>
          <w:kern w:val="2"/>
          <w:sz w:val="21"/>
          <w:szCs w:val="21"/>
          <w:lang w:val="en-US" w:eastAsia="zh-CN" w:bidi="ar-SA"/>
        </w:rPr>
        <w:t>糖注射液</w:t>
      </w:r>
      <w:r>
        <w:rPr>
          <w:rFonts w:hint="eastAsia" w:ascii="宋体" w:hAnsi="宋体" w:eastAsia="宋体" w:cs="宋体"/>
          <w:sz w:val="21"/>
          <w:szCs w:val="21"/>
          <w:lang w:val="en-US" w:eastAsia="zh-CN"/>
        </w:rPr>
        <w:t>《药品GMP符合性检查告知书）</w:t>
      </w:r>
    </w:p>
    <w:p w14:paraId="5CA969E6">
      <w:pPr>
        <w:widowControl/>
        <w:adjustRightInd/>
        <w:snapToGrid/>
        <w:spacing w:after="0" w:line="360" w:lineRule="auto"/>
        <w:rPr>
          <w:rFonts w:hint="eastAsia" w:ascii="宋体" w:hAnsi="宋体" w:eastAsia="宋体" w:cs="宋体"/>
          <w:sz w:val="21"/>
          <w:szCs w:val="21"/>
          <w:lang w:eastAsia="zh-CN"/>
        </w:rPr>
      </w:pPr>
      <w:r>
        <w:rPr>
          <w:rFonts w:hint="eastAsia" w:ascii="宋体" w:hAnsi="宋体" w:cs="宋体"/>
          <w:b w:val="0"/>
          <w:bCs w:val="0"/>
          <w:sz w:val="21"/>
          <w:szCs w:val="21"/>
          <w:lang w:val="en-US" w:eastAsia="zh-CN"/>
        </w:rPr>
        <w:t>▲</w:t>
      </w:r>
      <w:r>
        <w:rPr>
          <w:rFonts w:hint="eastAsia" w:ascii="宋体" w:hAnsi="宋体" w:eastAsia="宋体" w:cs="宋体"/>
          <w:sz w:val="21"/>
          <w:szCs w:val="21"/>
          <w:lang w:val="en-US" w:eastAsia="zh-CN"/>
        </w:rPr>
        <w:t>11.3</w:t>
      </w:r>
      <w:r>
        <w:rPr>
          <w:rFonts w:hint="eastAsia" w:ascii="宋体" w:hAnsi="宋体" w:eastAsia="宋体" w:cs="宋体"/>
          <w:sz w:val="21"/>
          <w:szCs w:val="21"/>
          <w:lang w:eastAsia="zh-CN"/>
        </w:rPr>
        <w:t>有回旋加速器场所生产与质量管理技术合作案例。</w:t>
      </w:r>
    </w:p>
    <w:p w14:paraId="16D63A76">
      <w:pPr>
        <w:widowControl/>
        <w:adjustRightInd/>
        <w:snapToGrid/>
        <w:spacing w:after="0" w:line="360" w:lineRule="auto"/>
        <w:rPr>
          <w:rFonts w:hint="eastAsia" w:ascii="宋体" w:hAnsi="宋体" w:eastAsia="宋体" w:cs="宋体"/>
          <w:sz w:val="21"/>
          <w:szCs w:val="21"/>
          <w:lang w:eastAsia="zh-CN"/>
        </w:rPr>
      </w:pPr>
      <w:r>
        <w:rPr>
          <w:rFonts w:hint="eastAsia" w:ascii="宋体" w:hAnsi="宋体" w:cs="宋体"/>
          <w:b w:val="0"/>
          <w:bCs w:val="0"/>
          <w:sz w:val="21"/>
          <w:szCs w:val="21"/>
          <w:lang w:val="en-US" w:eastAsia="zh-CN"/>
        </w:rPr>
        <w:t>▲</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4投标人</w:t>
      </w:r>
      <w:r>
        <w:rPr>
          <w:rFonts w:hint="eastAsia" w:ascii="宋体" w:hAnsi="宋体" w:eastAsia="宋体" w:cs="宋体"/>
          <w:sz w:val="21"/>
          <w:szCs w:val="21"/>
          <w:lang w:eastAsia="zh-CN"/>
        </w:rPr>
        <w:t>派出具有专业技术人员组建技术管理团队（</w:t>
      </w:r>
      <w:r>
        <w:rPr>
          <w:rFonts w:hint="eastAsia" w:ascii="宋体" w:hAnsi="宋体" w:cs="宋体"/>
          <w:sz w:val="21"/>
          <w:szCs w:val="21"/>
          <w:lang w:val="en-US" w:eastAsia="zh-CN"/>
        </w:rPr>
        <w:t>派出的</w:t>
      </w:r>
      <w:r>
        <w:rPr>
          <w:rFonts w:hint="eastAsia" w:ascii="宋体" w:hAnsi="宋体" w:eastAsia="宋体" w:cs="宋体"/>
          <w:sz w:val="21"/>
          <w:szCs w:val="21"/>
          <w:lang w:eastAsia="zh-CN"/>
        </w:rPr>
        <w:t>生产与质量专业技术人员不得少于</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人，人员与机构设置需符合放射性药品</w:t>
      </w:r>
      <w:r>
        <w:rPr>
          <w:rFonts w:hint="eastAsia" w:ascii="宋体" w:hAnsi="宋体" w:eastAsia="宋体" w:cs="宋体"/>
          <w:sz w:val="21"/>
          <w:szCs w:val="21"/>
          <w:lang w:val="en-US" w:eastAsia="zh-CN"/>
        </w:rPr>
        <w:t>GMP管理要求</w:t>
      </w:r>
      <w:r>
        <w:rPr>
          <w:rFonts w:hint="eastAsia" w:ascii="宋体" w:hAnsi="宋体" w:eastAsia="宋体" w:cs="宋体"/>
          <w:sz w:val="21"/>
          <w:szCs w:val="21"/>
          <w:lang w:eastAsia="zh-CN"/>
        </w:rPr>
        <w:t>），同时专业技术人员须具有回旋加速器及合成模块</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年以上操作管理经验并取得相关资质（</w:t>
      </w:r>
      <w:r>
        <w:rPr>
          <w:rFonts w:hint="eastAsia" w:ascii="宋体" w:hAnsi="宋体" w:eastAsia="宋体" w:cs="宋体"/>
          <w:sz w:val="21"/>
          <w:szCs w:val="21"/>
          <w:lang w:val="en-US" w:eastAsia="zh-CN"/>
        </w:rPr>
        <w:t>1：提供</w:t>
      </w:r>
      <w:r>
        <w:rPr>
          <w:rFonts w:hint="eastAsia" w:ascii="宋体" w:hAnsi="宋体" w:cs="宋体"/>
          <w:sz w:val="21"/>
          <w:szCs w:val="21"/>
          <w:lang w:val="en-US" w:eastAsia="zh-CN"/>
        </w:rPr>
        <w:t>对应的</w:t>
      </w:r>
      <w:r>
        <w:rPr>
          <w:rFonts w:hint="eastAsia" w:ascii="宋体" w:hAnsi="宋体" w:eastAsia="宋体" w:cs="宋体"/>
          <w:sz w:val="21"/>
          <w:szCs w:val="21"/>
          <w:lang w:val="en-US" w:eastAsia="zh-CN"/>
        </w:rPr>
        <w:t>《注册核安全工程师》证书；2：</w:t>
      </w:r>
      <w:r>
        <w:rPr>
          <w:rFonts w:hint="eastAsia" w:ascii="宋体" w:hAnsi="宋体" w:eastAsia="宋体" w:cs="宋体"/>
          <w:sz w:val="21"/>
          <w:szCs w:val="21"/>
          <w:lang w:eastAsia="zh-CN"/>
        </w:rPr>
        <w:t>需提供相应的</w:t>
      </w:r>
      <w:r>
        <w:rPr>
          <w:rFonts w:hint="eastAsia" w:ascii="宋体" w:hAnsi="宋体" w:cs="宋体"/>
          <w:sz w:val="21"/>
          <w:szCs w:val="21"/>
          <w:lang w:val="en-US" w:eastAsia="zh-CN"/>
        </w:rPr>
        <w:t>专业</w:t>
      </w:r>
      <w:r>
        <w:rPr>
          <w:rFonts w:hint="eastAsia" w:ascii="宋体" w:hAnsi="宋体" w:eastAsia="宋体" w:cs="宋体"/>
          <w:sz w:val="21"/>
          <w:szCs w:val="21"/>
          <w:lang w:val="en-US" w:eastAsia="zh-CN"/>
        </w:rPr>
        <w:t>人员的在投标单位的社保证明</w:t>
      </w:r>
      <w:r>
        <w:rPr>
          <w:rFonts w:hint="eastAsia" w:ascii="宋体" w:hAnsi="宋体" w:eastAsia="宋体" w:cs="宋体"/>
          <w:sz w:val="21"/>
          <w:szCs w:val="21"/>
          <w:lang w:eastAsia="zh-CN"/>
        </w:rPr>
        <w:t>）。</w:t>
      </w:r>
    </w:p>
    <w:p w14:paraId="14774EAC">
      <w:pPr>
        <w:widowControl/>
        <w:adjustRightInd/>
        <w:snapToGrid/>
        <w:spacing w:after="0"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sz w:val="21"/>
          <w:szCs w:val="21"/>
          <w:lang w:val="en-US" w:eastAsia="zh-CN"/>
        </w:rPr>
        <w:t>11.5特殊情况患者临时取消检查，由使用科室放置衰减，投标人无条件退货。</w:t>
      </w:r>
    </w:p>
    <w:p w14:paraId="31A676F4">
      <w:pPr>
        <w:numPr>
          <w:ilvl w:val="-1"/>
          <w:numId w:val="0"/>
        </w:numPr>
        <w:spacing w:line="360" w:lineRule="auto"/>
        <w:ind w:left="840" w:firstLine="0"/>
        <w:outlineLvl w:val="1"/>
        <w:rPr>
          <w:rFonts w:hint="eastAsia" w:ascii="宋体" w:hAnsi="宋体" w:cs="宋体"/>
          <w:b/>
          <w:bCs/>
          <w:kern w:val="0"/>
          <w:sz w:val="24"/>
          <w:szCs w:val="24"/>
        </w:rPr>
      </w:pPr>
      <w:r>
        <w:rPr>
          <w:rFonts w:hint="eastAsia" w:ascii="宋体" w:hAnsi="宋体" w:cs="宋体"/>
          <w:b/>
          <w:bCs/>
          <w:kern w:val="0"/>
          <w:sz w:val="24"/>
          <w:szCs w:val="24"/>
          <w:lang w:eastAsia="zh-CN"/>
        </w:rPr>
        <w:t>（三）</w:t>
      </w:r>
      <w:r>
        <w:rPr>
          <w:rFonts w:hint="eastAsia" w:ascii="宋体" w:hAnsi="宋体" w:cs="宋体"/>
          <w:b/>
          <w:bCs/>
          <w:kern w:val="0"/>
          <w:sz w:val="24"/>
          <w:szCs w:val="24"/>
        </w:rPr>
        <w:t>商务需求</w:t>
      </w:r>
    </w:p>
    <w:p w14:paraId="7ABC6E90">
      <w:pPr>
        <w:pStyle w:val="3"/>
      </w:pPr>
      <w:r>
        <w:rPr>
          <w:rFonts w:hint="eastAsia" w:ascii="宋体" w:hAnsi="宋体" w:cs="宋体"/>
          <w:szCs w:val="21"/>
        </w:rPr>
        <w:t>说明：带“★”指标项为实质性条款，如出现负偏离，将被视为未实质性满足招标文件要求作投标无效处理。带“▲”指标项为重要商务条款，负偏离时依相关评分准则内容作重点扣分处理。</w:t>
      </w:r>
    </w:p>
    <w:p w14:paraId="7BD301AF">
      <w:pPr>
        <w:widowControl/>
        <w:numPr>
          <w:ilvl w:val="0"/>
          <w:numId w:val="3"/>
        </w:numPr>
        <w:spacing w:line="360" w:lineRule="auto"/>
        <w:outlineLvl w:val="2"/>
        <w:rPr>
          <w:rFonts w:hint="eastAsia" w:ascii="宋体" w:hAnsi="宋体" w:cs="宋体"/>
          <w:b/>
          <w:bCs/>
          <w:szCs w:val="21"/>
        </w:rPr>
      </w:pPr>
      <w:r>
        <w:t>★</w:t>
      </w:r>
      <w:r>
        <w:rPr>
          <w:rFonts w:hint="eastAsia" w:ascii="宋体" w:hAnsi="宋体" w:cs="宋体"/>
          <w:b/>
          <w:bCs/>
          <w:szCs w:val="21"/>
        </w:rPr>
        <w:t>报价要求：本项目采用单价报价，报价不得超出单价最高限价，超出单价最高单价导致投标无效。</w:t>
      </w:r>
    </w:p>
    <w:p w14:paraId="5314C73B">
      <w:pPr>
        <w:widowControl/>
        <w:numPr>
          <w:ilvl w:val="0"/>
          <w:numId w:val="3"/>
        </w:numPr>
        <w:spacing w:line="360" w:lineRule="auto"/>
        <w:outlineLvl w:val="2"/>
        <w:rPr>
          <w:rFonts w:hint="eastAsia" w:ascii="宋体" w:hAnsi="宋体" w:cs="宋体"/>
          <w:szCs w:val="21"/>
        </w:rPr>
      </w:pPr>
      <w:r>
        <w:rPr>
          <w:rFonts w:hint="eastAsia" w:ascii="宋体" w:hAnsi="宋体" w:cs="宋体"/>
          <w:b/>
          <w:szCs w:val="21"/>
        </w:rPr>
        <w:t>定货、交货和验收</w:t>
      </w:r>
    </w:p>
    <w:p w14:paraId="412AB849">
      <w:pPr>
        <w:widowControl/>
        <w:numPr>
          <w:ilvl w:val="0"/>
          <w:numId w:val="4"/>
        </w:numPr>
        <w:spacing w:line="360" w:lineRule="auto"/>
        <w:ind w:left="0" w:firstLine="0"/>
        <w:jc w:val="left"/>
        <w:rPr>
          <w:rFonts w:hint="eastAsia" w:ascii="宋体" w:hAnsi="宋体" w:cs="宋体"/>
          <w:szCs w:val="21"/>
        </w:rPr>
      </w:pPr>
      <w:r>
        <w:rPr>
          <w:rFonts w:hint="eastAsia" w:ascii="宋体" w:hAnsi="宋体" w:cs="宋体"/>
          <w:szCs w:val="21"/>
        </w:rPr>
        <w:t>采购人根据临床需要至少提前一天向中标人定货，中标人收到采购人定货通知后予以确认。</w:t>
      </w:r>
    </w:p>
    <w:p w14:paraId="70351AB4">
      <w:pPr>
        <w:widowControl/>
        <w:numPr>
          <w:ilvl w:val="0"/>
          <w:numId w:val="4"/>
        </w:numPr>
        <w:spacing w:line="360" w:lineRule="auto"/>
        <w:ind w:left="0" w:firstLine="0"/>
        <w:rPr>
          <w:rFonts w:hint="eastAsia" w:ascii="宋体" w:hAnsi="宋体" w:cs="宋体"/>
          <w:szCs w:val="21"/>
        </w:rPr>
      </w:pPr>
      <w:r>
        <w:rPr>
          <w:rFonts w:hint="eastAsia" w:ascii="宋体" w:hAnsi="宋体" w:cs="宋体"/>
          <w:szCs w:val="21"/>
        </w:rPr>
        <w:t>中标人按采购人订单需要的交货时间安排生产，按照采购人确认的交货时间交货。中标人须具有在紧急需要时，临时加送药物的能力。</w:t>
      </w:r>
    </w:p>
    <w:p w14:paraId="4B8F99C5">
      <w:pPr>
        <w:widowControl/>
        <w:numPr>
          <w:ilvl w:val="0"/>
          <w:numId w:val="4"/>
        </w:numPr>
        <w:spacing w:line="360" w:lineRule="auto"/>
        <w:ind w:left="0" w:firstLine="0"/>
        <w:rPr>
          <w:rFonts w:hint="eastAsia" w:ascii="宋体" w:hAnsi="宋体" w:cs="宋体"/>
          <w:szCs w:val="21"/>
        </w:rPr>
      </w:pPr>
      <w:r>
        <w:rPr>
          <w:rFonts w:hint="eastAsia" w:ascii="宋体" w:hAnsi="宋体" w:cs="宋体"/>
          <w:szCs w:val="21"/>
        </w:rPr>
        <w:t>放射性药品的包装均应有良好的</w:t>
      </w:r>
      <w:r>
        <w:rPr>
          <w:rFonts w:hint="eastAsia" w:ascii="宋体" w:hAnsi="宋体" w:cs="宋体"/>
          <w:szCs w:val="21"/>
          <w:lang w:eastAsia="zh-CN"/>
        </w:rPr>
        <w:t>防辐射、</w:t>
      </w:r>
      <w:r>
        <w:rPr>
          <w:rFonts w:hint="eastAsia" w:ascii="宋体" w:hAnsi="宋体" w:cs="宋体"/>
          <w:szCs w:val="21"/>
        </w:rPr>
        <w:t>防湿、防锈、防潮、防雨、防腐及防碰撞的措施，由于不适当的包装而造成的损失和由此产生的费用由中标人负责。</w:t>
      </w:r>
    </w:p>
    <w:p w14:paraId="7120E0C6">
      <w:pPr>
        <w:widowControl/>
        <w:numPr>
          <w:ilvl w:val="0"/>
          <w:numId w:val="4"/>
        </w:numPr>
        <w:spacing w:line="360" w:lineRule="auto"/>
        <w:ind w:left="0" w:firstLine="0"/>
        <w:rPr>
          <w:rFonts w:hint="eastAsia" w:ascii="宋体" w:hAnsi="宋体" w:cs="宋体"/>
          <w:szCs w:val="21"/>
        </w:rPr>
      </w:pPr>
      <w:r>
        <w:rPr>
          <w:rFonts w:hint="eastAsia" w:ascii="宋体" w:hAnsi="宋体" w:cs="宋体"/>
          <w:szCs w:val="21"/>
        </w:rPr>
        <w:t>采购人收到中标人送货后及时对放射性药品进行验收，验收项目包括：品名、规格、放射性活度、外观质量、药物包装是否完好；中标人保证送货文件的真实、完整。采购人验收合格后视为确认收货。</w:t>
      </w:r>
    </w:p>
    <w:p w14:paraId="00794DD1">
      <w:pPr>
        <w:widowControl/>
        <w:numPr>
          <w:ilvl w:val="0"/>
          <w:numId w:val="3"/>
        </w:numPr>
        <w:spacing w:line="360" w:lineRule="auto"/>
        <w:outlineLvl w:val="2"/>
        <w:rPr>
          <w:rFonts w:hint="eastAsia" w:ascii="宋体" w:hAnsi="宋体" w:cs="宋体"/>
          <w:szCs w:val="21"/>
        </w:rPr>
      </w:pPr>
      <w:r>
        <w:rPr>
          <w:rFonts w:hint="eastAsia" w:ascii="宋体" w:hAnsi="宋体" w:cs="宋体"/>
          <w:b/>
          <w:szCs w:val="21"/>
        </w:rPr>
        <w:t>质保期及售后服务</w:t>
      </w:r>
    </w:p>
    <w:p w14:paraId="71919270">
      <w:pPr>
        <w:widowControl/>
        <w:numPr>
          <w:ilvl w:val="0"/>
          <w:numId w:val="5"/>
        </w:numPr>
        <w:spacing w:line="360" w:lineRule="auto"/>
        <w:ind w:left="0" w:firstLine="0"/>
        <w:rPr>
          <w:rFonts w:hint="eastAsia" w:ascii="宋体" w:hAnsi="宋体" w:cs="宋体"/>
          <w:szCs w:val="21"/>
        </w:rPr>
      </w:pPr>
      <w:r>
        <w:rPr>
          <w:rFonts w:hint="eastAsia" w:ascii="宋体" w:hAnsi="宋体" w:cs="宋体"/>
          <w:szCs w:val="21"/>
        </w:rPr>
        <w:t>质保期：6-10小时，具体以国家药监局备案为准；</w:t>
      </w:r>
    </w:p>
    <w:p w14:paraId="2CC48A50">
      <w:pPr>
        <w:pStyle w:val="14"/>
        <w:widowControl/>
        <w:numPr>
          <w:ilvl w:val="0"/>
          <w:numId w:val="5"/>
        </w:numPr>
        <w:spacing w:line="360" w:lineRule="auto"/>
        <w:ind w:left="0" w:firstLine="0" w:firstLineChars="0"/>
        <w:jc w:val="left"/>
        <w:rPr>
          <w:rFonts w:hint="eastAsia" w:ascii="宋体" w:hAnsi="宋体" w:cs="宋体"/>
          <w:szCs w:val="21"/>
        </w:rPr>
      </w:pPr>
      <w:r>
        <w:rPr>
          <w:rFonts w:hint="eastAsia" w:ascii="宋体" w:hAnsi="宋体" w:cs="宋体"/>
          <w:szCs w:val="21"/>
        </w:rPr>
        <w:t>如药物非因采购人人为故意原因而出现的质量问题，由中标人负责对问题件进行包修、包换或包退，并承担修理、调换或退货的实际费用。</w:t>
      </w:r>
    </w:p>
    <w:p w14:paraId="578B6A4E">
      <w:pPr>
        <w:widowControl/>
        <w:numPr>
          <w:ilvl w:val="0"/>
          <w:numId w:val="3"/>
        </w:numPr>
        <w:spacing w:line="360" w:lineRule="auto"/>
        <w:outlineLvl w:val="2"/>
        <w:rPr>
          <w:rFonts w:hint="eastAsia" w:ascii="宋体" w:hAnsi="宋体" w:cs="宋体"/>
          <w:b/>
          <w:bCs/>
          <w:szCs w:val="21"/>
        </w:rPr>
      </w:pPr>
      <w:r>
        <w:rPr>
          <w:rFonts w:hint="eastAsia" w:ascii="宋体" w:hAnsi="宋体" w:cs="宋体"/>
          <w:b/>
          <w:bCs/>
          <w:szCs w:val="21"/>
        </w:rPr>
        <w:t>结算价格：</w:t>
      </w:r>
      <w:r>
        <w:rPr>
          <w:rFonts w:hint="eastAsia" w:ascii="宋体" w:hAnsi="宋体" w:cs="宋体"/>
          <w:szCs w:val="21"/>
        </w:rPr>
        <w:t>本项目按实际发生量结算，结算价格=中标单价*实际采购量。</w:t>
      </w:r>
    </w:p>
    <w:p w14:paraId="0B05EC51">
      <w:pPr>
        <w:pStyle w:val="14"/>
        <w:widowControl/>
        <w:numPr>
          <w:ilvl w:val="0"/>
          <w:numId w:val="3"/>
        </w:numPr>
        <w:spacing w:line="360" w:lineRule="auto"/>
        <w:ind w:firstLine="0" w:firstLineChars="0"/>
        <w:jc w:val="left"/>
        <w:outlineLvl w:val="2"/>
        <w:rPr>
          <w:rFonts w:hint="eastAsia" w:ascii="宋体" w:hAnsi="宋体" w:cs="宋体"/>
          <w:b/>
          <w:bCs/>
          <w:szCs w:val="21"/>
        </w:rPr>
      </w:pPr>
      <w:r>
        <w:rPr>
          <w:rFonts w:hint="eastAsia" w:ascii="宋体" w:hAnsi="宋体" w:cs="宋体"/>
          <w:b/>
          <w:bCs/>
          <w:szCs w:val="21"/>
        </w:rPr>
        <w:t>付款方式：</w:t>
      </w:r>
    </w:p>
    <w:p w14:paraId="1D86AA4D">
      <w:pPr>
        <w:pStyle w:val="14"/>
        <w:widowControl/>
        <w:numPr>
          <w:ilvl w:val="0"/>
          <w:numId w:val="6"/>
        </w:numPr>
        <w:spacing w:line="360" w:lineRule="auto"/>
        <w:ind w:left="0" w:firstLine="0" w:firstLineChars="0"/>
        <w:jc w:val="left"/>
        <w:rPr>
          <w:rFonts w:hint="eastAsia" w:ascii="宋体" w:hAnsi="宋体" w:cs="宋体"/>
          <w:szCs w:val="21"/>
        </w:rPr>
      </w:pPr>
      <w:r>
        <w:rPr>
          <w:rFonts w:hint="eastAsia" w:ascii="宋体" w:hAnsi="宋体" w:cs="宋体"/>
          <w:szCs w:val="21"/>
        </w:rPr>
        <w:t>甲方应在收到发票后三个月内将货款付清。甲方向乙方交付货款最迟不得迟于交货后六个月否则乙方将不能保证甲方的后续供货，由此给甲方所造成的各种损失，乙方不承担任何责任。</w:t>
      </w:r>
    </w:p>
    <w:p w14:paraId="48C222B6">
      <w:pPr>
        <w:pStyle w:val="14"/>
        <w:widowControl/>
        <w:numPr>
          <w:ilvl w:val="0"/>
          <w:numId w:val="6"/>
        </w:numPr>
        <w:spacing w:line="360" w:lineRule="auto"/>
        <w:ind w:left="0" w:firstLine="0" w:firstLineChars="0"/>
        <w:jc w:val="left"/>
        <w:rPr>
          <w:rFonts w:hint="eastAsia" w:ascii="宋体" w:hAnsi="宋体" w:cs="宋体"/>
          <w:szCs w:val="21"/>
        </w:rPr>
      </w:pPr>
      <w:r>
        <w:rPr>
          <w:rFonts w:hint="eastAsia" w:ascii="宋体" w:hAnsi="宋体" w:cs="宋体"/>
          <w:szCs w:val="21"/>
        </w:rPr>
        <w:t>所有款项均以人民币支付。</w:t>
      </w:r>
    </w:p>
    <w:p w14:paraId="55E92474">
      <w:pPr>
        <w:pStyle w:val="14"/>
        <w:widowControl/>
        <w:numPr>
          <w:ilvl w:val="0"/>
          <w:numId w:val="6"/>
        </w:numPr>
        <w:spacing w:line="360" w:lineRule="auto"/>
        <w:ind w:left="0" w:firstLine="0" w:firstLineChars="0"/>
        <w:jc w:val="left"/>
        <w:rPr>
          <w:rFonts w:hint="eastAsia" w:ascii="宋体" w:hAnsi="宋体" w:cs="宋体"/>
          <w:szCs w:val="21"/>
        </w:rPr>
      </w:pPr>
      <w:r>
        <w:rPr>
          <w:rFonts w:hint="eastAsia" w:ascii="宋体" w:hAnsi="宋体" w:cs="宋体"/>
          <w:szCs w:val="21"/>
        </w:rPr>
        <w:t>若中标人迟延提供发票，采购人顺延支付费用。</w:t>
      </w:r>
    </w:p>
    <w:p w14:paraId="0C739A9E">
      <w:pPr>
        <w:pStyle w:val="14"/>
        <w:widowControl/>
        <w:numPr>
          <w:ilvl w:val="0"/>
          <w:numId w:val="3"/>
        </w:numPr>
        <w:spacing w:line="360" w:lineRule="auto"/>
        <w:ind w:firstLine="0" w:firstLineChars="0"/>
        <w:jc w:val="left"/>
        <w:outlineLvl w:val="2"/>
        <w:rPr>
          <w:rFonts w:hint="eastAsia" w:ascii="宋体" w:hAnsi="宋体" w:cs="宋体"/>
          <w:b/>
          <w:bCs/>
          <w:szCs w:val="21"/>
        </w:rPr>
      </w:pPr>
      <w:r>
        <w:rPr>
          <w:rFonts w:hint="eastAsia" w:ascii="宋体" w:hAnsi="宋体" w:cs="宋体"/>
          <w:b/>
          <w:bCs/>
          <w:szCs w:val="21"/>
        </w:rPr>
        <w:t>服务期限</w:t>
      </w:r>
    </w:p>
    <w:p w14:paraId="16411229">
      <w:pPr>
        <w:pStyle w:val="14"/>
        <w:widowControl/>
        <w:numPr>
          <w:ilvl w:val="0"/>
          <w:numId w:val="7"/>
        </w:numPr>
        <w:spacing w:line="360" w:lineRule="auto"/>
        <w:ind w:left="0" w:firstLine="0" w:firstLineChars="0"/>
        <w:jc w:val="left"/>
        <w:rPr>
          <w:rFonts w:hint="eastAsia" w:ascii="宋体" w:hAnsi="宋体" w:cs="宋体"/>
          <w:szCs w:val="21"/>
        </w:rPr>
      </w:pPr>
      <w:r>
        <w:rPr>
          <w:rFonts w:hint="eastAsia" w:ascii="宋体" w:hAnsi="宋体" w:cs="宋体"/>
          <w:szCs w:val="21"/>
        </w:rPr>
        <w:t>自合同生效之日起一年</w:t>
      </w:r>
      <w:r>
        <w:rPr>
          <w:rFonts w:hint="eastAsia" w:ascii="宋体" w:hAnsi="宋体" w:cs="宋体"/>
          <w:szCs w:val="21"/>
          <w:lang w:eastAsia="zh-CN"/>
        </w:rPr>
        <w:t>。</w:t>
      </w:r>
    </w:p>
    <w:p w14:paraId="082B5ACE">
      <w:pPr>
        <w:pStyle w:val="14"/>
        <w:widowControl/>
        <w:numPr>
          <w:ilvl w:val="0"/>
          <w:numId w:val="7"/>
        </w:numPr>
        <w:spacing w:line="360" w:lineRule="auto"/>
        <w:ind w:left="0" w:firstLine="0" w:firstLineChars="0"/>
        <w:jc w:val="left"/>
        <w:rPr>
          <w:rFonts w:hint="eastAsia" w:ascii="宋体" w:hAnsi="宋体" w:cs="宋体"/>
          <w:szCs w:val="21"/>
        </w:rPr>
      </w:pPr>
      <w:r>
        <w:rPr>
          <w:rFonts w:hint="eastAsia" w:ascii="宋体" w:hAnsi="宋体" w:cs="宋体"/>
          <w:szCs w:val="21"/>
        </w:rPr>
        <w:t>在达到上述要求之后，经双方协商可续签，甲方如对履约情况不满意，不再续签；若续签，本总合同履行期限最长不超过三十六个月。</w:t>
      </w:r>
    </w:p>
    <w:p w14:paraId="2647AC1F">
      <w:pPr>
        <w:pStyle w:val="14"/>
        <w:widowControl/>
        <w:numPr>
          <w:ilvl w:val="0"/>
          <w:numId w:val="3"/>
        </w:numPr>
        <w:spacing w:line="360" w:lineRule="auto"/>
        <w:ind w:firstLine="0" w:firstLineChars="0"/>
        <w:jc w:val="left"/>
        <w:outlineLvl w:val="2"/>
        <w:rPr>
          <w:rFonts w:hint="eastAsia" w:ascii="宋体" w:hAnsi="宋体" w:cs="宋体"/>
          <w:szCs w:val="21"/>
        </w:rPr>
      </w:pPr>
      <w:r>
        <w:rPr>
          <w:rFonts w:hint="eastAsia" w:ascii="宋体" w:hAnsi="宋体" w:cs="宋体"/>
          <w:b/>
          <w:bCs/>
          <w:szCs w:val="21"/>
        </w:rPr>
        <w:t>服务监管：</w:t>
      </w:r>
      <w:r>
        <w:rPr>
          <w:rFonts w:hint="eastAsia" w:ascii="宋体" w:hAnsi="宋体" w:cs="宋体"/>
          <w:szCs w:val="21"/>
        </w:rPr>
        <w:t>供需双方在药品购销过程中严格执行《中华人民共和国药品管理法》等法律法规的有关规定，合法诚信经营。</w:t>
      </w:r>
    </w:p>
    <w:p w14:paraId="264BC9B0">
      <w:pPr>
        <w:pStyle w:val="14"/>
        <w:widowControl/>
        <w:numPr>
          <w:ilvl w:val="0"/>
          <w:numId w:val="3"/>
        </w:numPr>
        <w:spacing w:line="360" w:lineRule="auto"/>
        <w:ind w:firstLine="0" w:firstLineChars="0"/>
        <w:jc w:val="left"/>
        <w:outlineLvl w:val="2"/>
      </w:pPr>
      <w:r>
        <w:rPr>
          <w:rFonts w:hint="eastAsia" w:ascii="宋体" w:hAnsi="宋体" w:cs="宋体"/>
          <w:szCs w:val="21"/>
        </w:rPr>
        <w:t>报价应遵循质量优先、价格合理的原则，不得进行恶意竞争。</w:t>
      </w:r>
    </w:p>
    <w:p w14:paraId="45E10B55">
      <w:pPr>
        <w:pStyle w:val="14"/>
        <w:widowControl/>
        <w:numPr>
          <w:ilvl w:val="0"/>
          <w:numId w:val="3"/>
        </w:numPr>
        <w:spacing w:line="360" w:lineRule="auto"/>
        <w:ind w:firstLine="0" w:firstLineChars="0"/>
        <w:jc w:val="left"/>
        <w:outlineLvl w:val="2"/>
      </w:pPr>
      <w:r>
        <w:rPr>
          <w:rFonts w:hint="eastAsia" w:ascii="宋体" w:hAnsi="宋体" w:cs="宋体"/>
          <w:szCs w:val="21"/>
          <w:lang w:val="en-US" w:eastAsia="zh-CN"/>
        </w:rPr>
        <w:t>项目实施地点：中国医学科学院肿瘤医院深圳医院核医学科。</w:t>
      </w:r>
    </w:p>
    <w:p w14:paraId="4BB53E22">
      <w:pPr>
        <w:autoSpaceDE w:val="0"/>
        <w:autoSpaceDN w:val="0"/>
        <w:adjustRightInd w:val="0"/>
        <w:spacing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cs="宋体"/>
          <w:b/>
          <w:bCs/>
          <w:color w:val="000000" w:themeColor="text1"/>
          <w:sz w:val="21"/>
          <w:szCs w:val="21"/>
          <w:highlight w:val="none"/>
          <w:lang w:val="en-US" w:eastAsia="zh-CN"/>
          <w14:textFill>
            <w14:solidFill>
              <w14:schemeClr w14:val="tx1"/>
            </w14:solidFill>
          </w14:textFill>
        </w:rPr>
        <w:t>技术合作</w:t>
      </w:r>
      <w:r>
        <w:rPr>
          <w:rFonts w:hint="eastAsia" w:ascii="宋体" w:hAnsi="宋体" w:eastAsia="宋体" w:cs="宋体"/>
          <w:b/>
          <w:bCs/>
          <w:color w:val="000000" w:themeColor="text1"/>
          <w:sz w:val="21"/>
          <w:szCs w:val="21"/>
          <w:highlight w:val="none"/>
          <w:lang w:eastAsia="zh-CN"/>
          <w14:textFill>
            <w14:solidFill>
              <w14:schemeClr w14:val="tx1"/>
            </w14:solidFill>
          </w14:textFill>
        </w:rPr>
        <w:t>要求：</w:t>
      </w:r>
    </w:p>
    <w:p w14:paraId="02D878B5">
      <w:pPr>
        <w:autoSpaceDE w:val="0"/>
        <w:autoSpaceDN w:val="0"/>
        <w:adjustRightInd w:val="0"/>
        <w:spacing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.1 </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投标人需</w:t>
      </w:r>
      <w:r>
        <w:rPr>
          <w:rFonts w:hint="eastAsia" w:ascii="宋体" w:hAnsi="宋体" w:eastAsia="宋体" w:cs="宋体"/>
          <w:color w:val="000000" w:themeColor="text1"/>
          <w:sz w:val="21"/>
          <w:szCs w:val="21"/>
          <w:highlight w:val="none"/>
          <w:lang w:eastAsia="zh-CN"/>
          <w14:textFill>
            <w14:solidFill>
              <w14:schemeClr w14:val="tx1"/>
            </w14:solidFill>
          </w14:textFill>
        </w:rPr>
        <w:t>派出具有专业资质人员组建技术管理团队， 按照国家相关法规和技术服务要求提供正电子药物制备与研发全流程服务。</w:t>
      </w:r>
    </w:p>
    <w:p w14:paraId="434C412E">
      <w:pPr>
        <w:autoSpaceDE w:val="0"/>
        <w:autoSpaceDN w:val="0"/>
        <w:adjustRightInd w:val="0"/>
        <w:spacing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按照《医疗机构制备正电子类放射性药品质量管理规范》和《正电子类放射性药品质量控制指导原则》，建立回旋加速器中心正电子药物生产与质量管理规范、制备与研发正电子类药物，按药品质量标准对生产与研发的产品进行质量控制，保证医院用药质量安全有效。</w:t>
      </w:r>
    </w:p>
    <w:p w14:paraId="415CDE21">
      <w:pPr>
        <w:autoSpaceDE w:val="0"/>
        <w:autoSpaceDN w:val="0"/>
        <w:adjustRightInd w:val="0"/>
        <w:spacing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按照《放射性同位素与射线装置安全和防护管理办法》承担回旋加速器中心场所和人员的安全防护管理，并有责任保证厂房设备、配套设施安全完好。</w:t>
      </w:r>
    </w:p>
    <w:p w14:paraId="51B930AE">
      <w:pPr>
        <w:numPr>
          <w:ilvl w:val="0"/>
          <w:numId w:val="0"/>
        </w:numPr>
        <w:rPr>
          <w:rFonts w:hint="default" w:ascii="宋体" w:hAnsi="宋体" w:eastAsia="宋体" w:cs="宋体"/>
          <w:spacing w:val="-108"/>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承担回旋加速器</w:t>
      </w:r>
      <w:r>
        <w:rPr>
          <w:rFonts w:hint="eastAsia" w:ascii="宋体" w:hAnsi="宋体" w:eastAsia="宋体" w:cs="宋体"/>
          <w:spacing w:val="-2"/>
          <w:sz w:val="21"/>
          <w:szCs w:val="21"/>
          <w:highlight w:val="none"/>
          <w:lang w:eastAsia="zh-CN"/>
        </w:rPr>
        <w:t>及配套系统设备</w:t>
      </w:r>
      <w:r>
        <w:rPr>
          <w:rFonts w:hint="eastAsia" w:ascii="宋体" w:hAnsi="宋体" w:cs="宋体"/>
          <w:color w:val="000000" w:themeColor="text1"/>
          <w:sz w:val="21"/>
          <w:szCs w:val="21"/>
          <w:highlight w:val="none"/>
          <w:lang w:eastAsia="zh-CN"/>
          <w14:textFill>
            <w14:solidFill>
              <w14:schemeClr w14:val="tx1"/>
            </w14:solidFill>
          </w14:textFill>
        </w:rPr>
        <w:t>所需的部分设备维保及人力成本，承担费用由投标人自行量化。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需提供承诺函（格式自拟）   </w:t>
      </w:r>
    </w:p>
    <w:p w14:paraId="2559F6C1">
      <w:pPr>
        <w:numPr>
          <w:ilvl w:val="0"/>
          <w:numId w:val="0"/>
        </w:numP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承担回旋加速器日常药品生产制备、新药研发及药品质量控制所用原料、耗材及试剂的采购及</w:t>
      </w:r>
      <w:r>
        <w:rPr>
          <w:rFonts w:hint="eastAsia" w:ascii="宋体" w:hAnsi="宋体" w:eastAsia="宋体" w:cs="宋体"/>
          <w:color w:val="000000" w:themeColor="text1"/>
          <w:sz w:val="21"/>
          <w:szCs w:val="21"/>
          <w:highlight w:val="none"/>
          <w:lang w:val="en-US" w:eastAsia="zh-CN"/>
          <w14:textFill>
            <w14:solidFill>
              <w14:schemeClr w14:val="tx1"/>
            </w14:solidFill>
          </w14:textFill>
        </w:rPr>
        <w:t>生产</w:t>
      </w:r>
      <w:r>
        <w:rPr>
          <w:rFonts w:hint="eastAsia" w:ascii="宋体" w:hAnsi="宋体" w:eastAsia="宋体" w:cs="宋体"/>
          <w:color w:val="000000" w:themeColor="text1"/>
          <w:sz w:val="21"/>
          <w:szCs w:val="21"/>
          <w:highlight w:val="none"/>
          <w:lang w:eastAsia="zh-CN"/>
          <w14:textFill>
            <w14:solidFill>
              <w14:schemeClr w14:val="tx1"/>
            </w14:solidFill>
          </w14:textFill>
        </w:rPr>
        <w:t>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需提供承诺函）</w:t>
      </w:r>
    </w:p>
    <w:p w14:paraId="35924CB2">
      <w:pPr>
        <w:adjustRightInd w:val="0"/>
        <w:snapToGrid w:val="0"/>
        <w:spacing w:after="0"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满足</w:t>
      </w:r>
      <w:r>
        <w:rPr>
          <w:rFonts w:hint="eastAsia" w:ascii="宋体" w:hAnsi="宋体" w:eastAsia="宋体" w:cs="宋体"/>
          <w:color w:val="000000" w:themeColor="text1"/>
          <w:sz w:val="21"/>
          <w:szCs w:val="21"/>
          <w:lang w:val="en-US" w:eastAsia="zh-CN"/>
          <w14:textFill>
            <w14:solidFill>
              <w14:schemeClr w14:val="tx1"/>
            </w14:solidFill>
          </w14:textFill>
        </w:rPr>
        <w:t>医院</w:t>
      </w:r>
      <w:r>
        <w:rPr>
          <w:rFonts w:hint="eastAsia" w:ascii="宋体" w:hAnsi="宋体" w:eastAsia="宋体" w:cs="宋体"/>
          <w:color w:val="000000" w:themeColor="text1"/>
          <w:sz w:val="21"/>
          <w:szCs w:val="21"/>
          <w:lang w:eastAsia="zh-CN"/>
          <w14:textFill>
            <w14:solidFill>
              <w14:schemeClr w14:val="tx1"/>
            </w14:solidFill>
          </w14:textFill>
        </w:rPr>
        <w:t>现阶段生产与研发药品：</w:t>
      </w:r>
      <w:r>
        <w:rPr>
          <w:rFonts w:hint="eastAsia" w:ascii="宋体" w:hAnsi="宋体" w:cs="宋体"/>
          <w:color w:val="000000" w:themeColor="text1"/>
          <w:sz w:val="21"/>
          <w:szCs w:val="21"/>
          <w:lang w:eastAsia="zh-CN"/>
          <w14:textFill>
            <w14:solidFill>
              <w14:schemeClr w14:val="tx1"/>
            </w14:solidFill>
          </w14:textFill>
        </w:rPr>
        <w:t>包括但不限于</w:t>
      </w:r>
      <w:r>
        <w:rPr>
          <w:rFonts w:hint="eastAsia" w:ascii="宋体" w:hAnsi="宋体" w:eastAsia="宋体" w:cs="宋体"/>
          <w:color w:val="000000" w:themeColor="text1"/>
          <w:sz w:val="21"/>
          <w:szCs w:val="21"/>
          <w:lang w:eastAsia="zh-CN"/>
          <w14:textFill>
            <w14:solidFill>
              <w14:schemeClr w14:val="tx1"/>
            </w14:solidFill>
          </w14:textFill>
        </w:rPr>
        <w:t>FDG、</w:t>
      </w:r>
      <w:r>
        <w:rPr>
          <w:rFonts w:hint="eastAsia" w:ascii="宋体" w:hAnsi="宋体" w:eastAsia="宋体" w:cs="宋体"/>
          <w:color w:val="000000"/>
          <w:sz w:val="21"/>
          <w:szCs w:val="21"/>
        </w:rPr>
        <w:t>PSMA</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胆碱、</w:t>
      </w:r>
      <w:r>
        <w:rPr>
          <w:rFonts w:hint="eastAsia" w:ascii="宋体" w:hAnsi="宋体" w:eastAsia="宋体" w:cs="宋体"/>
          <w:color w:val="000000"/>
          <w:sz w:val="21"/>
          <w:szCs w:val="21"/>
          <w:lang w:eastAsia="zh-CN"/>
        </w:rPr>
        <w:t>奥曲肽</w:t>
      </w:r>
      <w:r>
        <w:rPr>
          <w:rFonts w:hint="eastAsia" w:ascii="宋体" w:hAnsi="宋体" w:eastAsia="宋体" w:cs="宋体"/>
          <w:color w:val="000000"/>
          <w:sz w:val="21"/>
          <w:szCs w:val="21"/>
        </w:rPr>
        <w:t>、FAPI</w:t>
      </w:r>
      <w:r>
        <w:rPr>
          <w:rFonts w:hint="eastAsia" w:ascii="宋体" w:hAnsi="宋体" w:eastAsia="宋体" w:cs="宋体"/>
          <w:color w:val="000000"/>
          <w:sz w:val="21"/>
          <w:szCs w:val="21"/>
          <w:lang w:val="en-US" w:eastAsia="zh-CN"/>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需提供承诺函，</w:t>
      </w:r>
      <w:r>
        <w:rPr>
          <w:rFonts w:hint="eastAsia" w:ascii="宋体" w:hAnsi="宋体" w:eastAsia="宋体" w:cs="宋体"/>
          <w:color w:val="000000" w:themeColor="text1"/>
          <w:sz w:val="21"/>
          <w:szCs w:val="21"/>
          <w:lang w:eastAsia="zh-CN"/>
          <w14:textFill>
            <w14:solidFill>
              <w14:schemeClr w14:val="tx1"/>
            </w14:solidFill>
          </w14:textFill>
        </w:rPr>
        <w:t>新药研发需求品种如有新增，需双方协定）</w:t>
      </w:r>
    </w:p>
    <w:p w14:paraId="2A5CBCE7">
      <w:pPr>
        <w:pStyle w:val="14"/>
        <w:widowControl/>
        <w:numPr>
          <w:ilvl w:val="0"/>
          <w:numId w:val="0"/>
        </w:numPr>
        <w:spacing w:line="360" w:lineRule="auto"/>
        <w:jc w:val="left"/>
        <w:outlineLvl w:val="2"/>
      </w:pPr>
    </w:p>
    <w:p w14:paraId="583D0091">
      <w:pPr>
        <w:rPr>
          <w:rFonts w:hint="eastAsia" w:ascii="宋体" w:hAnsi="宋体" w:cs="宋体"/>
          <w:b/>
          <w:bCs/>
          <w:kern w:val="0"/>
          <w:szCs w:val="21"/>
        </w:rPr>
      </w:pPr>
      <w:r>
        <w:rPr>
          <w:rFonts w:hint="eastAsia" w:ascii="宋体" w:hAnsi="宋体" w:cs="宋体"/>
          <w:b/>
          <w:bCs/>
          <w:kern w:val="0"/>
          <w:szCs w:val="21"/>
        </w:rPr>
        <w:br w:type="page"/>
      </w:r>
    </w:p>
    <w:p w14:paraId="01E3C701">
      <w:pPr>
        <w:pStyle w:val="3"/>
      </w:pPr>
    </w:p>
    <w:p w14:paraId="2ECD6AC9">
      <w:pPr>
        <w:numPr>
          <w:ilvl w:val="0"/>
          <w:numId w:val="1"/>
        </w:numPr>
        <w:spacing w:line="360" w:lineRule="auto"/>
        <w:jc w:val="center"/>
        <w:outlineLvl w:val="0"/>
        <w:rPr>
          <w:rFonts w:hint="eastAsia" w:ascii="宋体" w:hAnsi="宋体" w:cs="宋体"/>
          <w:b/>
          <w:bCs/>
          <w:kern w:val="0"/>
          <w:sz w:val="28"/>
          <w:szCs w:val="28"/>
        </w:rPr>
      </w:pPr>
      <w:r>
        <w:rPr>
          <w:rFonts w:hint="eastAsia" w:ascii="宋体" w:hAnsi="宋体" w:cs="宋体"/>
          <w:b/>
          <w:bCs/>
          <w:kern w:val="0"/>
          <w:sz w:val="28"/>
          <w:szCs w:val="28"/>
        </w:rPr>
        <w:t>申请人的资格要求</w:t>
      </w:r>
    </w:p>
    <w:p w14:paraId="1310C418">
      <w:pPr>
        <w:numPr>
          <w:ilvl w:val="0"/>
          <w:numId w:val="8"/>
        </w:numPr>
        <w:rPr>
          <w:rFonts w:hint="eastAsia" w:ascii="宋体" w:hAnsi="宋体" w:cs="宋体"/>
          <w:kern w:val="0"/>
          <w:sz w:val="24"/>
        </w:rPr>
      </w:pPr>
      <w:r>
        <w:rPr>
          <w:rFonts w:hint="eastAsia" w:ascii="宋体" w:hAnsi="宋体" w:cs="宋体"/>
          <w:kern w:val="0"/>
          <w:sz w:val="24"/>
        </w:rPr>
        <w:t>具有独立法人资格或是具有独立承担民事责任能力的其它组织（提供营业执照或事业单位法人证书等证明资料扫描件，原件备查）；</w:t>
      </w:r>
    </w:p>
    <w:p w14:paraId="0069D4CA">
      <w:pPr>
        <w:numPr>
          <w:ilvl w:val="0"/>
          <w:numId w:val="8"/>
        </w:numPr>
        <w:rPr>
          <w:rFonts w:hint="eastAsia" w:ascii="宋体" w:hAnsi="宋体" w:cs="宋体"/>
          <w:b/>
          <w:bCs/>
          <w:kern w:val="0"/>
          <w:sz w:val="24"/>
        </w:rPr>
      </w:pPr>
      <w:r>
        <w:rPr>
          <w:rFonts w:hint="eastAsia" w:ascii="宋体" w:hAnsi="宋体" w:cs="宋体"/>
          <w:b/>
          <w:bCs/>
          <w:kern w:val="0"/>
          <w:sz w:val="24"/>
        </w:rPr>
        <w:t>投标人如是产品生产商，须具有有效</w:t>
      </w:r>
      <w:r>
        <w:rPr>
          <w:rFonts w:hint="eastAsia" w:ascii="宋体" w:hAnsi="宋体" w:cs="宋体"/>
          <w:b/>
          <w:bCs/>
          <w:kern w:val="0"/>
          <w:sz w:val="24"/>
          <w:lang w:val="en-US" w:eastAsia="zh-CN"/>
        </w:rPr>
        <w:t>期内</w:t>
      </w:r>
      <w:r>
        <w:rPr>
          <w:rFonts w:hint="eastAsia" w:ascii="宋体" w:hAnsi="宋体" w:cs="宋体"/>
          <w:b/>
          <w:bCs/>
          <w:kern w:val="0"/>
          <w:sz w:val="24"/>
        </w:rPr>
        <w:t>的《放射性药品生产许可证》；投标人如是产品经销商，须具有有效</w:t>
      </w:r>
      <w:r>
        <w:rPr>
          <w:rFonts w:hint="eastAsia" w:ascii="宋体" w:hAnsi="宋体" w:cs="宋体"/>
          <w:b/>
          <w:bCs/>
          <w:kern w:val="0"/>
          <w:sz w:val="24"/>
          <w:lang w:val="en-US" w:eastAsia="zh-CN"/>
        </w:rPr>
        <w:t>期内</w:t>
      </w:r>
      <w:r>
        <w:rPr>
          <w:rFonts w:hint="eastAsia" w:ascii="宋体" w:hAnsi="宋体" w:cs="宋体"/>
          <w:b/>
          <w:bCs/>
          <w:kern w:val="0"/>
          <w:sz w:val="24"/>
        </w:rPr>
        <w:t>的《放射性药品经营企业许可证》。</w:t>
      </w:r>
    </w:p>
    <w:p w14:paraId="7E8BF8BA">
      <w:pPr>
        <w:numPr>
          <w:ilvl w:val="0"/>
          <w:numId w:val="8"/>
        </w:numPr>
        <w:rPr>
          <w:rFonts w:hint="eastAsia" w:ascii="宋体" w:hAnsi="宋体" w:cs="宋体"/>
          <w:b/>
          <w:bCs/>
          <w:kern w:val="0"/>
          <w:sz w:val="24"/>
        </w:rPr>
      </w:pPr>
      <w:r>
        <w:rPr>
          <w:rFonts w:hint="eastAsia" w:ascii="宋体" w:hAnsi="宋体" w:cs="宋体"/>
          <w:b/>
          <w:bCs/>
          <w:kern w:val="0"/>
          <w:sz w:val="24"/>
        </w:rPr>
        <w:t>投标人具有有效</w:t>
      </w:r>
      <w:r>
        <w:rPr>
          <w:rFonts w:hint="eastAsia" w:ascii="宋体" w:hAnsi="宋体" w:cs="宋体"/>
          <w:b/>
          <w:bCs/>
          <w:kern w:val="0"/>
          <w:sz w:val="24"/>
          <w:lang w:val="en-US" w:eastAsia="zh-CN"/>
        </w:rPr>
        <w:t>期内</w:t>
      </w:r>
      <w:r>
        <w:rPr>
          <w:rFonts w:hint="eastAsia" w:ascii="宋体" w:hAnsi="宋体" w:cs="宋体"/>
          <w:b/>
          <w:bCs/>
          <w:kern w:val="0"/>
          <w:sz w:val="24"/>
        </w:rPr>
        <w:t>的《辐射安全许可证》。</w:t>
      </w:r>
    </w:p>
    <w:p w14:paraId="0B1A8A15">
      <w:pPr>
        <w:numPr>
          <w:ilvl w:val="0"/>
          <w:numId w:val="8"/>
        </w:numPr>
        <w:rPr>
          <w:rFonts w:hint="eastAsia" w:ascii="宋体" w:hAnsi="宋体" w:cs="宋体"/>
          <w:kern w:val="0"/>
          <w:sz w:val="24"/>
        </w:rPr>
      </w:pPr>
      <w:r>
        <w:rPr>
          <w:rFonts w:hint="eastAsia" w:ascii="宋体" w:hAnsi="宋体" w:cs="宋体"/>
          <w:kern w:val="0"/>
          <w:sz w:val="24"/>
        </w:rPr>
        <w:t>本项目不接受联合体投标，不接受投标人选用进口产品参与投标；</w:t>
      </w:r>
    </w:p>
    <w:p w14:paraId="4DD5BCE5">
      <w:pPr>
        <w:numPr>
          <w:ilvl w:val="0"/>
          <w:numId w:val="8"/>
        </w:numPr>
        <w:rPr>
          <w:rFonts w:hint="eastAsia" w:ascii="宋体" w:hAnsi="宋体" w:cs="宋体"/>
          <w:kern w:val="0"/>
          <w:sz w:val="24"/>
        </w:rPr>
      </w:pPr>
      <w:r>
        <w:rPr>
          <w:rFonts w:hint="eastAsia" w:ascii="宋体" w:hAnsi="宋体" w:cs="宋体"/>
          <w:kern w:val="0"/>
          <w:sz w:val="24"/>
        </w:rPr>
        <w:t>参与本项目投标前三年内，在经营活动中没有重大违法记录（由供应商在《政府采购投标及履约承诺函》中作出声明）；</w:t>
      </w:r>
    </w:p>
    <w:p w14:paraId="2271EA66">
      <w:pPr>
        <w:numPr>
          <w:ilvl w:val="0"/>
          <w:numId w:val="8"/>
        </w:numPr>
        <w:rPr>
          <w:rFonts w:hint="eastAsia" w:ascii="宋体" w:hAnsi="宋体" w:cs="宋体"/>
          <w:kern w:val="0"/>
          <w:sz w:val="24"/>
        </w:rPr>
      </w:pPr>
      <w:r>
        <w:rPr>
          <w:rFonts w:hint="eastAsia" w:ascii="宋体" w:hAnsi="宋体" w:cs="宋体"/>
          <w:kern w:val="0"/>
          <w:sz w:val="24"/>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21678F61">
      <w:pPr>
        <w:numPr>
          <w:ilvl w:val="0"/>
          <w:numId w:val="8"/>
        </w:numPr>
        <w:rPr>
          <w:rFonts w:hint="eastAsia" w:ascii="宋体" w:hAnsi="宋体" w:cs="宋体"/>
          <w:kern w:val="0"/>
          <w:sz w:val="24"/>
        </w:rPr>
      </w:pPr>
      <w:r>
        <w:rPr>
          <w:rFonts w:hint="eastAsia" w:ascii="宋体" w:hAnsi="宋体" w:cs="宋体"/>
          <w:kern w:val="0"/>
          <w:sz w:val="24"/>
        </w:rPr>
        <w:t>具备《中华人民共和国政府采购法》第二十二条第一款的条件（由供应商在《政府采购投标及履约承诺函》中作出声明）；</w:t>
      </w:r>
    </w:p>
    <w:p w14:paraId="2CD97824">
      <w:pPr>
        <w:numPr>
          <w:ilvl w:val="0"/>
          <w:numId w:val="8"/>
        </w:numPr>
        <w:rPr>
          <w:rFonts w:hint="eastAsia" w:ascii="宋体" w:hAnsi="宋体" w:cs="宋体"/>
          <w:kern w:val="0"/>
          <w:sz w:val="24"/>
        </w:rPr>
      </w:pPr>
      <w:r>
        <w:rPr>
          <w:rFonts w:hint="eastAsia" w:ascii="宋体" w:hAnsi="宋体" w:cs="宋体"/>
          <w:kern w:val="0"/>
          <w:sz w:val="24"/>
        </w:rPr>
        <w:t>未被列入失信被执行人、重大税收违法案件当事人名单、政府采购严重违法失信行为记录名单（由供应商在《政府采购投标及履约承诺函》中作出声明）。</w:t>
      </w:r>
    </w:p>
    <w:p w14:paraId="53A121B6">
      <w:pPr>
        <w:ind w:firstLine="630" w:firstLineChars="300"/>
        <w:rPr>
          <w:rFonts w:hint="eastAsia" w:ascii="宋体" w:hAnsi="宋体" w:cs="宋体"/>
          <w:kern w:val="0"/>
          <w:szCs w:val="21"/>
        </w:rPr>
      </w:pPr>
    </w:p>
    <w:p w14:paraId="770F54C5">
      <w:pPr>
        <w:ind w:firstLine="420" w:firstLineChars="200"/>
        <w:rPr>
          <w:rFonts w:hint="eastAsia" w:ascii="宋体" w:hAnsi="宋体" w:cs="宋体"/>
          <w:kern w:val="0"/>
          <w:szCs w:val="21"/>
        </w:rPr>
      </w:pPr>
      <w:r>
        <w:rPr>
          <w:rFonts w:hint="eastAsia" w:ascii="宋体" w:hAnsi="宋体" w:cs="宋体"/>
          <w:kern w:val="0"/>
          <w:szCs w:val="21"/>
        </w:rPr>
        <w:t>注：（1）“信用中国”</w:t>
      </w:r>
      <w:r>
        <w:rPr>
          <w:rFonts w:ascii="宋体" w:hAnsi="宋体" w:cs="宋体"/>
          <w:szCs w:val="21"/>
        </w:rPr>
        <w:t>中“信用服务”栏的“</w:t>
      </w:r>
      <w:r>
        <w:rPr>
          <w:rFonts w:hint="eastAsia" w:ascii="宋体" w:hAnsi="宋体" w:cs="宋体"/>
          <w:szCs w:val="21"/>
        </w:rPr>
        <w:t>重大税收违法失信主体</w:t>
      </w:r>
      <w:r>
        <w:rPr>
          <w:rFonts w:ascii="宋体" w:hAnsi="宋体" w:cs="宋体"/>
          <w:szCs w:val="21"/>
        </w:rPr>
        <w:t>”“失信被执行人”</w:t>
      </w:r>
      <w:r>
        <w:rPr>
          <w:rFonts w:hint="eastAsia" w:ascii="宋体" w:hAnsi="宋体" w:cs="宋体"/>
          <w:kern w:val="0"/>
          <w:szCs w:val="21"/>
        </w:rPr>
        <w:t>，“中国政府采购网”</w:t>
      </w:r>
      <w:r>
        <w:rPr>
          <w:rFonts w:ascii="宋体" w:hAnsi="宋体" w:cs="宋体"/>
          <w:szCs w:val="21"/>
        </w:rPr>
        <w:t>中的“政府采购严重违法失信行为记录名单”</w:t>
      </w:r>
      <w:r>
        <w:rPr>
          <w:rFonts w:hint="eastAsia" w:ascii="宋体" w:hAnsi="宋体" w:cs="宋体"/>
          <w:kern w:val="0"/>
          <w:szCs w:val="21"/>
        </w:rPr>
        <w:t>，“深圳信用网”以及“深圳市政府采购监管网”为供应商信用信息的查询渠道，相关信息以开标当日的查询结果为准；</w:t>
      </w:r>
    </w:p>
    <w:p w14:paraId="2ABBAD9B">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02343782">
      <w:pPr>
        <w:rPr>
          <w:b/>
          <w:bCs/>
          <w:sz w:val="36"/>
          <w:szCs w:val="44"/>
        </w:rPr>
      </w:pPr>
      <w:r>
        <w:rPr>
          <w:rFonts w:hint="eastAsia"/>
          <w:b/>
          <w:bCs/>
          <w:sz w:val="36"/>
          <w:szCs w:val="44"/>
        </w:rPr>
        <w:br w:type="page"/>
      </w:r>
    </w:p>
    <w:p w14:paraId="682DDE56">
      <w:pPr>
        <w:numPr>
          <w:ilvl w:val="0"/>
          <w:numId w:val="1"/>
        </w:numPr>
        <w:spacing w:line="360" w:lineRule="auto"/>
        <w:jc w:val="center"/>
        <w:outlineLvl w:val="0"/>
        <w:rPr>
          <w:b/>
          <w:bCs/>
          <w:sz w:val="36"/>
          <w:szCs w:val="44"/>
        </w:rPr>
      </w:pPr>
      <w:r>
        <w:rPr>
          <w:rFonts w:hint="eastAsia"/>
          <w:b/>
          <w:bCs/>
          <w:sz w:val="36"/>
          <w:szCs w:val="44"/>
        </w:rPr>
        <w:t>评审标准</w:t>
      </w:r>
    </w:p>
    <w:p w14:paraId="627DE9E0">
      <w:pPr>
        <w:jc w:val="center"/>
      </w:pPr>
      <w:bookmarkStart w:id="7" w:name="_Hlk211244132"/>
      <w:r>
        <w:rPr>
          <w:rFonts w:hint="eastAsia"/>
          <w:b/>
        </w:rPr>
        <w:t>非评定分离项目</w:t>
      </w:r>
    </w:p>
    <w:bookmarkEnd w:id="7"/>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280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C762672">
            <w:pPr>
              <w:jc w:val="center"/>
            </w:pPr>
            <w:bookmarkStart w:id="8" w:name="_Hlk74239733"/>
            <w:r>
              <w:rPr>
                <w:rFonts w:hint="eastAsia"/>
              </w:rPr>
              <w:t>评标方法</w:t>
            </w:r>
          </w:p>
        </w:tc>
        <w:tc>
          <w:tcPr>
            <w:tcW w:w="4265" w:type="dxa"/>
          </w:tcPr>
          <w:p w14:paraId="0D307E3F">
            <w:pPr>
              <w:jc w:val="center"/>
            </w:pPr>
            <w:r>
              <w:rPr>
                <w:rFonts w:hint="eastAsia"/>
              </w:rPr>
              <w:t>综合评分法</w:t>
            </w:r>
          </w:p>
        </w:tc>
      </w:tr>
      <w:tr w14:paraId="2810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675EDFC">
            <w:pPr>
              <w:jc w:val="center"/>
            </w:pPr>
            <w:r>
              <w:rPr>
                <w:rFonts w:hint="eastAsia"/>
              </w:rPr>
              <w:t>候选中标供应商家数</w:t>
            </w:r>
          </w:p>
        </w:tc>
        <w:tc>
          <w:tcPr>
            <w:tcW w:w="4265" w:type="dxa"/>
          </w:tcPr>
          <w:p w14:paraId="4F3796B6">
            <w:pPr>
              <w:jc w:val="center"/>
              <w:rPr>
                <w:rFonts w:hint="eastAsia" w:eastAsia="宋体"/>
                <w:lang w:val="en-US" w:eastAsia="zh-CN"/>
              </w:rPr>
            </w:pPr>
            <w:r>
              <w:rPr>
                <w:rFonts w:hint="eastAsia"/>
                <w:lang w:val="en-US" w:eastAsia="zh-CN"/>
              </w:rPr>
              <w:t>1</w:t>
            </w:r>
          </w:p>
        </w:tc>
      </w:tr>
      <w:tr w14:paraId="7299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3164B85">
            <w:pPr>
              <w:jc w:val="center"/>
            </w:pPr>
            <w:r>
              <w:rPr>
                <w:rFonts w:hint="eastAsia"/>
              </w:rPr>
              <w:t>中标供应商家数</w:t>
            </w:r>
          </w:p>
        </w:tc>
        <w:tc>
          <w:tcPr>
            <w:tcW w:w="4265" w:type="dxa"/>
          </w:tcPr>
          <w:p w14:paraId="3BA47604">
            <w:pPr>
              <w:jc w:val="center"/>
              <w:rPr>
                <w:rFonts w:hint="eastAsia" w:eastAsia="宋体"/>
                <w:lang w:val="en-US" w:eastAsia="zh-CN"/>
              </w:rPr>
            </w:pPr>
            <w:r>
              <w:rPr>
                <w:rFonts w:hint="eastAsia"/>
                <w:lang w:val="en-US" w:eastAsia="zh-CN"/>
              </w:rPr>
              <w:t>1</w:t>
            </w:r>
          </w:p>
        </w:tc>
      </w:tr>
      <w:bookmarkEnd w:id="8"/>
    </w:tbl>
    <w:p w14:paraId="2D55F824">
      <w:pPr>
        <w:ind w:left="3240"/>
        <w:rPr>
          <w:b/>
        </w:rPr>
      </w:pPr>
    </w:p>
    <w:p w14:paraId="2521D867">
      <w:pPr>
        <w:spacing w:line="360" w:lineRule="auto"/>
        <w:ind w:firstLine="411" w:firstLineChars="196"/>
        <w:jc w:val="center"/>
        <w:rPr>
          <w:rFonts w:hint="eastAsia" w:ascii="宋体" w:hAnsi="宋体" w:cs="宋体"/>
        </w:rPr>
      </w:pPr>
      <w:r>
        <w:rPr>
          <w:rFonts w:hint="eastAsia" w:ascii="宋体" w:hAnsi="宋体" w:cs="宋体"/>
        </w:rPr>
        <w:t>关于享受优惠政策的主体及价格扣除比例</w:t>
      </w:r>
    </w:p>
    <w:p w14:paraId="5D4DB7F9">
      <w:pPr>
        <w:spacing w:line="360" w:lineRule="auto"/>
        <w:ind w:firstLine="411" w:firstLineChars="196"/>
        <w:rPr>
          <w:rFonts w:hint="eastAsia" w:ascii="宋体" w:hAnsi="宋体" w:cs="宋体"/>
          <w:szCs w:val="21"/>
        </w:rPr>
      </w:pPr>
      <w:r>
        <w:rPr>
          <w:rFonts w:hint="eastAsia" w:ascii="宋体" w:hAnsi="宋体" w:cs="宋体"/>
        </w:rPr>
        <w:t>1、投标人提供的服务全部均由优惠主体承接的，对其投标总价给予</w:t>
      </w:r>
      <w:r>
        <w:rPr>
          <w:rFonts w:hint="eastAsia" w:ascii="宋体" w:hAnsi="宋体" w:cs="宋体"/>
          <w:b/>
          <w:u w:val="single"/>
        </w:rPr>
        <w:t>10%</w:t>
      </w:r>
      <w:r>
        <w:rPr>
          <w:rFonts w:hint="eastAsia" w:ascii="宋体" w:hAnsi="宋体" w:cs="宋体"/>
        </w:rPr>
        <w:t>的扣除，用扣除后的价格参与评审。满足多项优惠政策的企业，不重复享受多项价格扣除政策。如为联合体投标，联合体共同投标协议中明确注明约定优惠主体的协议合同金额占到联合体协议总金额30%以上的，对该联合体的投标总价给予</w:t>
      </w:r>
      <w:r>
        <w:rPr>
          <w:rFonts w:hint="eastAsia" w:ascii="宋体" w:hAnsi="宋体" w:cs="宋体"/>
          <w:u w:val="single"/>
        </w:rPr>
        <w:t>/</w:t>
      </w:r>
      <w:r>
        <w:rPr>
          <w:rFonts w:hint="eastAsia" w:ascii="宋体" w:hAnsi="宋体" w:cs="宋体"/>
        </w:rPr>
        <w:t>的扣除，用扣除后的价格参与评审。联合体各方均为优惠主体的，该联合体视同为优惠主体，按前款规定享受评标优惠政策。</w:t>
      </w:r>
      <w:r>
        <w:rPr>
          <w:rFonts w:hint="eastAsia" w:ascii="宋体" w:hAnsi="宋体" w:cs="宋体"/>
          <w:szCs w:val="21"/>
        </w:rPr>
        <w:t>政策调整后价格仅作为评审依据，不作为中标价格。享受价格扣除获得政府采购合同的，小微企业不得将合同分包给大中型企业。</w:t>
      </w:r>
    </w:p>
    <w:p w14:paraId="1B57FD8F">
      <w:pPr>
        <w:tabs>
          <w:tab w:val="left" w:pos="720"/>
        </w:tabs>
        <w:spacing w:line="360" w:lineRule="auto"/>
        <w:ind w:firstLine="420" w:firstLineChars="200"/>
        <w:rPr>
          <w:rFonts w:hint="eastAsia" w:ascii="宋体" w:hAnsi="宋体" w:cs="宋体"/>
        </w:rPr>
      </w:pPr>
      <w:r>
        <w:rPr>
          <w:rFonts w:hint="eastAsia" w:ascii="宋体" w:hAnsi="宋体" w:cs="宋体"/>
        </w:rPr>
        <w:t>备注：（1）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2）优惠主体承接是指提供服务的人员为优惠主体依照《中华人民共和国劳动合同法》订立劳动合同的从业人员。（3）小型企业、微型企业、残疾人福利性单位作为优惠主体的认定资料为《中小企业声明函》、《残疾人福利性单位声明函》；监狱企业作为优惠主体的认定资料为省级以上监狱管理局、戒毒管理局出具的监狱企业证明文件。</w:t>
      </w:r>
    </w:p>
    <w:p w14:paraId="6BCE44C6">
      <w:pPr>
        <w:tabs>
          <w:tab w:val="left" w:pos="720"/>
        </w:tabs>
        <w:spacing w:line="360" w:lineRule="auto"/>
        <w:ind w:firstLine="420" w:firstLineChars="200"/>
        <w:rPr>
          <w:rFonts w:hint="eastAsia" w:ascii="宋体" w:hAnsi="宋体" w:cs="宋体"/>
        </w:rPr>
      </w:pPr>
      <w:r>
        <w:rPr>
          <w:rFonts w:hint="eastAsia" w:ascii="宋体" w:hAnsi="宋体" w:cs="宋体"/>
        </w:rPr>
        <w:t>2、本项目采购标的对应的中小企业划分标准所属行业，根据《中小企业划型标准规定》（工信部联企业〔2011〕300 号）、《统计上大中小微型企业划分办法（2017）》（国统字〔2017〕213 号）或国务院批准的其他中小企业划分标准文件确定。</w:t>
      </w:r>
    </w:p>
    <w:p w14:paraId="2A45E87B">
      <w:pPr>
        <w:tabs>
          <w:tab w:val="left" w:pos="720"/>
        </w:tabs>
        <w:spacing w:line="360" w:lineRule="auto"/>
        <w:ind w:firstLine="420" w:firstLineChars="200"/>
        <w:rPr>
          <w:rFonts w:hint="eastAsia" w:ascii="宋体" w:hAnsi="宋体" w:cs="宋体"/>
          <w:highlight w:val="yellow"/>
        </w:rPr>
      </w:pPr>
      <w:r>
        <w:rPr>
          <w:rFonts w:hint="eastAsia" w:ascii="宋体" w:hAnsi="宋体" w:cs="宋体"/>
          <w:bCs/>
          <w:szCs w:val="21"/>
        </w:rPr>
        <w:t>本项目（包组）采购标的对应的中小企业划分标准所属行业为：</w:t>
      </w:r>
      <w:r>
        <w:rPr>
          <w:rFonts w:hint="eastAsia" w:ascii="宋体" w:hAnsi="宋体" w:cs="宋体"/>
          <w:b/>
          <w:szCs w:val="21"/>
          <w:u w:val="single"/>
        </w:rPr>
        <w:t xml:space="preserve">  其他未列明行业  </w:t>
      </w:r>
      <w:r>
        <w:rPr>
          <w:rFonts w:hint="eastAsia" w:ascii="宋体" w:hAnsi="宋体" w:cs="宋体"/>
          <w:b/>
          <w:szCs w:val="21"/>
        </w:rPr>
        <w:t>。</w:t>
      </w:r>
    </w:p>
    <w:p w14:paraId="78808E94">
      <w:r>
        <w:br w:type="page"/>
      </w:r>
    </w:p>
    <w:tbl>
      <w:tblPr>
        <w:tblStyle w:val="10"/>
        <w:tblW w:w="5070" w:type="pct"/>
        <w:jc w:val="center"/>
        <w:tblCellSpacing w:w="0" w:type="dxa"/>
        <w:tblLayout w:type="autofit"/>
        <w:tblCellMar>
          <w:top w:w="45" w:type="dxa"/>
          <w:left w:w="45" w:type="dxa"/>
          <w:bottom w:w="45" w:type="dxa"/>
          <w:right w:w="45" w:type="dxa"/>
        </w:tblCellMar>
      </w:tblPr>
      <w:tblGrid>
        <w:gridCol w:w="54"/>
        <w:gridCol w:w="567"/>
        <w:gridCol w:w="632"/>
        <w:gridCol w:w="2660"/>
        <w:gridCol w:w="647"/>
        <w:gridCol w:w="3707"/>
        <w:gridCol w:w="189"/>
        <w:gridCol w:w="58"/>
      </w:tblGrid>
      <w:tr w14:paraId="40D257E4">
        <w:tblPrEx>
          <w:tblCellMar>
            <w:top w:w="45" w:type="dxa"/>
            <w:left w:w="45" w:type="dxa"/>
            <w:bottom w:w="45" w:type="dxa"/>
            <w:right w:w="45" w:type="dxa"/>
          </w:tblCellMar>
        </w:tblPrEx>
        <w:trPr>
          <w:gridBefore w:val="1"/>
          <w:gridAfter w:val="1"/>
          <w:wBefore w:w="32" w:type="pct"/>
          <w:wAfter w:w="34" w:type="pct"/>
          <w:tblCellSpacing w:w="0" w:type="dxa"/>
          <w:jc w:val="center"/>
        </w:trPr>
        <w:tc>
          <w:tcPr>
            <w:tcW w:w="4822" w:type="pct"/>
            <w:gridSpan w:val="5"/>
            <w:vAlign w:val="center"/>
          </w:tcPr>
          <w:p w14:paraId="1AD4D988">
            <w:pPr>
              <w:widowControl/>
              <w:jc w:val="left"/>
              <w:rPr>
                <w:b/>
                <w:bCs/>
                <w:sz w:val="24"/>
              </w:rPr>
            </w:pPr>
            <w:r>
              <w:rPr>
                <w:b/>
                <w:bCs/>
              </w:rPr>
              <w:t>评标方法：综合评分法（新价格分算法）</w:t>
            </w:r>
          </w:p>
        </w:tc>
        <w:tc>
          <w:tcPr>
            <w:tcW w:w="110" w:type="pct"/>
            <w:vAlign w:val="center"/>
          </w:tcPr>
          <w:p w14:paraId="07754DC0">
            <w:pPr>
              <w:jc w:val="right"/>
              <w:rPr>
                <w:rFonts w:ascii="宋体"/>
                <w:b/>
                <w:bCs/>
                <w:sz w:val="24"/>
              </w:rPr>
            </w:pPr>
          </w:p>
        </w:tc>
      </w:tr>
      <w:tr w14:paraId="7FE07EDF">
        <w:tblPrEx>
          <w:tblCellMar>
            <w:top w:w="45" w:type="dxa"/>
            <w:left w:w="45" w:type="dxa"/>
            <w:bottom w:w="45" w:type="dxa"/>
            <w:right w:w="45" w:type="dxa"/>
          </w:tblCellMar>
        </w:tblPrEx>
        <w:trPr>
          <w:gridBefore w:val="1"/>
          <w:gridAfter w:val="1"/>
          <w:wBefore w:w="32" w:type="pct"/>
          <w:wAfter w:w="34" w:type="pct"/>
          <w:tblCellSpacing w:w="0" w:type="dxa"/>
          <w:jc w:val="center"/>
        </w:trPr>
        <w:tc>
          <w:tcPr>
            <w:tcW w:w="4933" w:type="pct"/>
            <w:gridSpan w:val="6"/>
            <w:vAlign w:val="center"/>
          </w:tcPr>
          <w:p w14:paraId="3B033F11">
            <w:pPr>
              <w:spacing w:line="324" w:lineRule="auto"/>
              <w:ind w:firstLine="420"/>
              <w:rPr>
                <w:szCs w:val="21"/>
              </w:rPr>
            </w:pPr>
            <w:r>
              <w:rPr>
                <w:szCs w:val="21"/>
              </w:rPr>
              <w:t xml:space="preserve">综合评分法，是指投标文件满足招标文件全部实质性要求，且按照评审因素的量化指标评审得分最高的投标人为中标候选人的评标方法。 </w:t>
            </w:r>
          </w:p>
          <w:p w14:paraId="417AFC30">
            <w:pPr>
              <w:ind w:firstLine="420"/>
              <w:rPr>
                <w:szCs w:val="21"/>
              </w:rPr>
            </w:pPr>
            <w:r>
              <w:rPr>
                <w:szCs w:val="21"/>
              </w:rPr>
              <w:t>价格分计算方法：</w:t>
            </w:r>
          </w:p>
          <w:p w14:paraId="3174C06F">
            <w:pPr>
              <w:pStyle w:val="8"/>
              <w:widowControl/>
              <w:spacing w:line="324" w:lineRule="auto"/>
              <w:ind w:left="420"/>
              <w:rPr>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r>
              <w:rPr>
                <w:kern w:val="2"/>
                <w:sz w:val="21"/>
                <w:szCs w:val="21"/>
              </w:rPr>
              <w:br w:type="textWrapping"/>
            </w:r>
            <w:r>
              <w:rPr>
                <w:kern w:val="2"/>
                <w:sz w:val="21"/>
                <w:szCs w:val="21"/>
              </w:rPr>
              <w:t xml:space="preserve">投标报价得分=(评标基准价／投标报价)×100 </w:t>
            </w:r>
            <w:r>
              <w:rPr>
                <w:kern w:val="2"/>
                <w:sz w:val="21"/>
                <w:szCs w:val="21"/>
              </w:rPr>
              <w:br w:type="textWrapping"/>
            </w:r>
            <w:r>
              <w:rPr>
                <w:kern w:val="2"/>
                <w:sz w:val="21"/>
                <w:szCs w:val="21"/>
              </w:rPr>
              <w:t xml:space="preserve">评标总得分＝F1×A1＋F2×A2＋……＋Fn×An </w:t>
            </w:r>
            <w:r>
              <w:rPr>
                <w:kern w:val="2"/>
                <w:sz w:val="21"/>
                <w:szCs w:val="21"/>
              </w:rPr>
              <w:br w:type="textWrapping"/>
            </w:r>
            <w:r>
              <w:rPr>
                <w:kern w:val="2"/>
                <w:sz w:val="21"/>
                <w:szCs w:val="21"/>
              </w:rPr>
              <w:t xml:space="preserve">F1、F2……Fn分别为各项评审因素的得分； </w:t>
            </w:r>
            <w:r>
              <w:rPr>
                <w:kern w:val="2"/>
                <w:sz w:val="21"/>
                <w:szCs w:val="21"/>
              </w:rPr>
              <w:br w:type="textWrapping"/>
            </w:r>
            <w:r>
              <w:rPr>
                <w:kern w:val="2"/>
                <w:sz w:val="21"/>
                <w:szCs w:val="21"/>
              </w:rPr>
              <w:t xml:space="preserve">A1、A2、……An 分别为各项评审因素所占的权重(A1＋A2＋……＋An＝1)。 </w:t>
            </w:r>
            <w:r>
              <w:rPr>
                <w:kern w:val="2"/>
                <w:sz w:val="21"/>
                <w:szCs w:val="21"/>
              </w:rPr>
              <w:br w:type="textWrapping"/>
            </w:r>
            <w:r>
              <w:rPr>
                <w:kern w:val="2"/>
                <w:sz w:val="21"/>
                <w:szCs w:val="21"/>
              </w:rPr>
              <w:t xml:space="preserve">评标过程中，不得去掉报价中的最高报价和最低报价。 </w:t>
            </w:r>
            <w:r>
              <w:rPr>
                <w:kern w:val="2"/>
                <w:sz w:val="21"/>
                <w:szCs w:val="21"/>
              </w:rPr>
              <w:br w:type="textWrapping"/>
            </w:r>
            <w:r>
              <w:rPr>
                <w:kern w:val="2"/>
                <w:sz w:val="21"/>
                <w:szCs w:val="21"/>
              </w:rPr>
              <w:t>此方法适用于货物类、服务类、工程类项目。</w:t>
            </w:r>
          </w:p>
        </w:tc>
      </w:tr>
      <w:tr w14:paraId="0BEA8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9F14E60">
            <w:pPr>
              <w:widowControl/>
              <w:wordWrap w:val="0"/>
              <w:jc w:val="center"/>
              <w:rPr>
                <w:rFonts w:hint="eastAsia" w:ascii="宋体" w:hAnsi="宋体" w:cs="宋体"/>
                <w:b/>
                <w:bCs/>
                <w:szCs w:val="21"/>
              </w:rPr>
            </w:pPr>
            <w:bookmarkStart w:id="9" w:name="_Hlk72360569"/>
            <w:r>
              <w:rPr>
                <w:rFonts w:hint="eastAsia" w:ascii="宋体" w:hAnsi="宋体" w:cs="宋体"/>
                <w:b/>
                <w:bCs/>
                <w:kern w:val="0"/>
                <w:szCs w:val="21"/>
              </w:rPr>
              <w:t>序号</w:t>
            </w:r>
          </w:p>
        </w:tc>
        <w:tc>
          <w:tcPr>
            <w:tcW w:w="2313"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63E372B">
            <w:pPr>
              <w:widowControl/>
              <w:wordWrap w:val="0"/>
              <w:jc w:val="center"/>
              <w:rPr>
                <w:rFonts w:hint="eastAsia" w:ascii="宋体" w:hAnsi="宋体" w:cs="宋体"/>
                <w:b/>
                <w:bCs/>
                <w:szCs w:val="21"/>
              </w:rPr>
            </w:pPr>
            <w:r>
              <w:rPr>
                <w:rFonts w:hint="eastAsia" w:ascii="宋体" w:hAnsi="宋体" w:cs="宋体"/>
                <w:b/>
                <w:bCs/>
                <w:kern w:val="0"/>
                <w:szCs w:val="21"/>
              </w:rPr>
              <w:t>评分项</w:t>
            </w:r>
          </w:p>
        </w:tc>
        <w:tc>
          <w:tcPr>
            <w:tcW w:w="2320"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9C46C07">
            <w:pPr>
              <w:widowControl/>
              <w:wordWrap w:val="0"/>
              <w:jc w:val="center"/>
              <w:rPr>
                <w:rFonts w:hint="eastAsia" w:ascii="宋体" w:hAnsi="宋体" w:cs="宋体"/>
                <w:b/>
                <w:bCs/>
                <w:szCs w:val="21"/>
              </w:rPr>
            </w:pPr>
            <w:r>
              <w:rPr>
                <w:rFonts w:hint="eastAsia" w:ascii="宋体" w:hAnsi="宋体" w:cs="宋体"/>
                <w:b/>
                <w:bCs/>
                <w:kern w:val="0"/>
                <w:szCs w:val="21"/>
              </w:rPr>
              <w:t>权重(%)</w:t>
            </w:r>
          </w:p>
        </w:tc>
      </w:tr>
      <w:tr w14:paraId="2B0453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tcBorders>
              <w:top w:val="single" w:color="000000" w:sz="8" w:space="0"/>
              <w:left w:val="single" w:color="000000" w:sz="8" w:space="0"/>
              <w:bottom w:val="single" w:color="000000" w:sz="8" w:space="0"/>
              <w:right w:val="single" w:color="000000" w:sz="8" w:space="0"/>
            </w:tcBorders>
            <w:vAlign w:val="center"/>
          </w:tcPr>
          <w:p w14:paraId="74FD6A28">
            <w:pPr>
              <w:widowControl/>
              <w:wordWrap w:val="0"/>
              <w:jc w:val="center"/>
              <w:rPr>
                <w:rFonts w:hint="eastAsia" w:ascii="宋体" w:hAnsi="宋体" w:cs="宋体"/>
                <w:b/>
                <w:bCs/>
                <w:szCs w:val="21"/>
              </w:rPr>
            </w:pPr>
            <w:r>
              <w:rPr>
                <w:rFonts w:hint="eastAsia" w:ascii="宋体" w:hAnsi="宋体" w:cs="宋体"/>
                <w:b/>
                <w:bCs/>
                <w:kern w:val="0"/>
                <w:szCs w:val="21"/>
              </w:rPr>
              <w:t>1</w:t>
            </w:r>
          </w:p>
        </w:tc>
        <w:tc>
          <w:tcPr>
            <w:tcW w:w="2313" w:type="pct"/>
            <w:gridSpan w:val="3"/>
            <w:tcBorders>
              <w:top w:val="single" w:color="000000" w:sz="8" w:space="0"/>
              <w:left w:val="single" w:color="000000" w:sz="8" w:space="0"/>
              <w:bottom w:val="single" w:color="000000" w:sz="8" w:space="0"/>
              <w:right w:val="single" w:color="000000" w:sz="8" w:space="0"/>
            </w:tcBorders>
            <w:vAlign w:val="center"/>
          </w:tcPr>
          <w:p w14:paraId="2F2982F8">
            <w:pPr>
              <w:widowControl/>
              <w:wordWrap w:val="0"/>
              <w:jc w:val="center"/>
              <w:rPr>
                <w:rFonts w:hint="eastAsia" w:ascii="宋体" w:hAnsi="宋体" w:cs="宋体"/>
                <w:b/>
                <w:bCs/>
                <w:szCs w:val="21"/>
              </w:rPr>
            </w:pPr>
            <w:r>
              <w:rPr>
                <w:rFonts w:hint="eastAsia" w:ascii="宋体" w:hAnsi="宋体" w:cs="宋体"/>
                <w:b/>
                <w:bCs/>
                <w:kern w:val="0"/>
                <w:szCs w:val="21"/>
              </w:rPr>
              <w:t>价格</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5A732B51">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30</w:t>
            </w:r>
          </w:p>
        </w:tc>
      </w:tr>
      <w:tr w14:paraId="4A2F5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restart"/>
            <w:tcBorders>
              <w:top w:val="single" w:color="000000" w:sz="8" w:space="0"/>
              <w:left w:val="single" w:color="000000" w:sz="8" w:space="0"/>
              <w:right w:val="single" w:color="000000" w:sz="8" w:space="0"/>
            </w:tcBorders>
            <w:vAlign w:val="center"/>
          </w:tcPr>
          <w:p w14:paraId="6B1B8DC2">
            <w:pPr>
              <w:widowControl/>
              <w:wordWrap w:val="0"/>
              <w:jc w:val="center"/>
              <w:rPr>
                <w:rFonts w:hint="eastAsia" w:ascii="宋体" w:hAnsi="宋体" w:cs="宋体"/>
                <w:b/>
                <w:bCs/>
                <w:szCs w:val="21"/>
              </w:rPr>
            </w:pPr>
            <w:r>
              <w:rPr>
                <w:rFonts w:hint="eastAsia" w:ascii="宋体" w:hAnsi="宋体" w:cs="宋体"/>
                <w:b/>
                <w:bCs/>
                <w:kern w:val="0"/>
                <w:szCs w:val="21"/>
              </w:rPr>
              <w:t>2</w:t>
            </w:r>
          </w:p>
        </w:tc>
        <w:tc>
          <w:tcPr>
            <w:tcW w:w="2313" w:type="pct"/>
            <w:gridSpan w:val="3"/>
            <w:tcBorders>
              <w:top w:val="single" w:color="000000" w:sz="8" w:space="0"/>
              <w:left w:val="single" w:color="000000" w:sz="8" w:space="0"/>
              <w:bottom w:val="single" w:color="000000" w:sz="8" w:space="0"/>
              <w:right w:val="single" w:color="000000" w:sz="8" w:space="0"/>
            </w:tcBorders>
            <w:vAlign w:val="center"/>
          </w:tcPr>
          <w:p w14:paraId="0752764C">
            <w:pPr>
              <w:widowControl/>
              <w:wordWrap w:val="0"/>
              <w:jc w:val="center"/>
              <w:rPr>
                <w:rFonts w:hint="eastAsia" w:ascii="宋体" w:hAnsi="宋体" w:cs="宋体"/>
                <w:b/>
                <w:bCs/>
                <w:szCs w:val="21"/>
              </w:rPr>
            </w:pPr>
            <w:r>
              <w:rPr>
                <w:rFonts w:hint="eastAsia" w:ascii="宋体" w:hAnsi="宋体" w:cs="宋体"/>
                <w:b/>
                <w:bCs/>
                <w:kern w:val="0"/>
                <w:szCs w:val="21"/>
              </w:rPr>
              <w:t>技术部分</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3092E1E2">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53</w:t>
            </w:r>
          </w:p>
        </w:tc>
      </w:tr>
      <w:tr w14:paraId="7E9A0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left w:val="single" w:color="000000" w:sz="8" w:space="0"/>
              <w:right w:val="single" w:color="000000" w:sz="8" w:space="0"/>
            </w:tcBorders>
            <w:shd w:val="clear" w:color="auto" w:fill="E6EFFA"/>
            <w:vAlign w:val="center"/>
          </w:tcPr>
          <w:p w14:paraId="74A54ACC">
            <w:pPr>
              <w:jc w:val="center"/>
              <w:rPr>
                <w:rFonts w:hint="eastAsia" w:ascii="宋体" w:hAnsi="宋体" w:cs="宋体"/>
                <w:b/>
                <w:bCs/>
                <w:szCs w:val="21"/>
              </w:rPr>
            </w:pPr>
          </w:p>
        </w:tc>
        <w:tc>
          <w:tcPr>
            <w:tcW w:w="37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A965435">
            <w:pPr>
              <w:widowControl/>
              <w:wordWrap w:val="0"/>
              <w:jc w:val="center"/>
              <w:rPr>
                <w:rFonts w:hint="eastAsia" w:ascii="宋体" w:hAnsi="宋体" w:cs="宋体"/>
                <w:szCs w:val="21"/>
              </w:rPr>
            </w:pPr>
            <w:r>
              <w:rPr>
                <w:rFonts w:hint="eastAsia" w:ascii="宋体" w:hAnsi="宋体" w:cs="宋体"/>
                <w:kern w:val="0"/>
                <w:szCs w:val="21"/>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DE23F0E">
            <w:pPr>
              <w:widowControl/>
              <w:wordWrap w:val="0"/>
              <w:jc w:val="center"/>
              <w:rPr>
                <w:rFonts w:hint="eastAsia" w:ascii="宋体" w:hAnsi="宋体" w:cs="宋体"/>
                <w:szCs w:val="21"/>
              </w:rPr>
            </w:pPr>
            <w:r>
              <w:rPr>
                <w:rFonts w:hint="eastAsia" w:ascii="宋体" w:hAnsi="宋体" w:cs="宋体"/>
                <w:kern w:val="0"/>
                <w:szCs w:val="21"/>
              </w:rPr>
              <w:t>评分因素</w:t>
            </w:r>
          </w:p>
        </w:tc>
        <w:tc>
          <w:tcPr>
            <w:tcW w:w="37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71C9231">
            <w:pPr>
              <w:widowControl/>
              <w:wordWrap w:val="0"/>
              <w:jc w:val="center"/>
              <w:rPr>
                <w:rFonts w:hint="eastAsia" w:ascii="宋体" w:hAnsi="宋体" w:cs="宋体"/>
                <w:szCs w:val="21"/>
              </w:rPr>
            </w:pPr>
            <w:r>
              <w:rPr>
                <w:rFonts w:hint="eastAsia" w:ascii="宋体" w:hAnsi="宋体" w:cs="宋体"/>
                <w:kern w:val="0"/>
                <w:szCs w:val="21"/>
              </w:rPr>
              <w:t>权重(%)</w:t>
            </w:r>
          </w:p>
        </w:tc>
        <w:tc>
          <w:tcPr>
            <w:tcW w:w="2320" w:type="pct"/>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3AF37123">
            <w:pPr>
              <w:widowControl/>
              <w:wordWrap w:val="0"/>
              <w:jc w:val="center"/>
              <w:rPr>
                <w:rFonts w:hint="eastAsia" w:ascii="宋体" w:hAnsi="宋体" w:cs="宋体"/>
                <w:szCs w:val="21"/>
              </w:rPr>
            </w:pPr>
            <w:r>
              <w:rPr>
                <w:rFonts w:hint="eastAsia" w:ascii="宋体" w:hAnsi="宋体" w:cs="宋体"/>
                <w:kern w:val="0"/>
                <w:szCs w:val="21"/>
              </w:rPr>
              <w:t>评分准则</w:t>
            </w:r>
          </w:p>
        </w:tc>
      </w:tr>
      <w:tr w14:paraId="436B9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left w:val="single" w:color="000000" w:sz="8" w:space="0"/>
              <w:right w:val="single" w:color="000000" w:sz="8" w:space="0"/>
            </w:tcBorders>
            <w:vAlign w:val="center"/>
          </w:tcPr>
          <w:p w14:paraId="11D2C1E6">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vAlign w:val="center"/>
          </w:tcPr>
          <w:p w14:paraId="367359F8">
            <w:pPr>
              <w:widowControl/>
              <w:wordWrap w:val="0"/>
              <w:jc w:val="center"/>
              <w:textAlignment w:val="top"/>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562" w:type="pct"/>
            <w:tcBorders>
              <w:top w:val="single" w:color="000000" w:sz="8" w:space="0"/>
              <w:left w:val="single" w:color="000000" w:sz="8" w:space="0"/>
              <w:bottom w:val="single" w:color="000000" w:sz="8" w:space="0"/>
              <w:right w:val="single" w:color="000000" w:sz="8" w:space="0"/>
            </w:tcBorders>
            <w:vAlign w:val="center"/>
          </w:tcPr>
          <w:p w14:paraId="58AD5AFA">
            <w:pPr>
              <w:wordWrap w:val="0"/>
              <w:jc w:val="center"/>
              <w:rPr>
                <w:rFonts w:hint="eastAsia" w:ascii="宋体" w:hAnsi="宋体" w:eastAsia="宋体" w:cs="宋体"/>
                <w:szCs w:val="21"/>
                <w:lang w:eastAsia="zh-CN"/>
              </w:rPr>
            </w:pPr>
            <w:r>
              <w:rPr>
                <w:rFonts w:hint="eastAsia" w:ascii="宋体" w:hAnsi="宋体" w:cs="宋体"/>
                <w:color w:val="auto"/>
                <w:sz w:val="24"/>
                <w:highlight w:val="none"/>
              </w:rPr>
              <w:t>技术条款响应情况</w:t>
            </w:r>
            <w:r>
              <w:rPr>
                <w:rFonts w:hint="eastAsia" w:ascii="宋体" w:hAnsi="宋体" w:cs="宋体"/>
                <w:color w:val="auto"/>
                <w:sz w:val="24"/>
                <w:highlight w:val="none"/>
                <w:lang w:eastAsia="zh-CN"/>
              </w:rPr>
              <w:t>（涉及条款：“（二）服务要求</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中</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第</w:t>
            </w:r>
            <w:r>
              <w:rPr>
                <w:rFonts w:hint="eastAsia" w:ascii="宋体" w:hAnsi="宋体" w:cs="宋体"/>
                <w:color w:val="auto"/>
                <w:sz w:val="24"/>
                <w:highlight w:val="none"/>
                <w:lang w:val="en-US" w:eastAsia="zh-CN"/>
              </w:rPr>
              <w:t>5-11项</w:t>
            </w:r>
            <w:r>
              <w:rPr>
                <w:rFonts w:hint="eastAsia" w:ascii="宋体" w:hAnsi="宋体" w:cs="宋体"/>
                <w:color w:val="auto"/>
                <w:sz w:val="24"/>
                <w:highlight w:val="none"/>
                <w:lang w:eastAsia="zh-CN"/>
              </w:rPr>
              <w:t>”）</w:t>
            </w:r>
          </w:p>
        </w:tc>
        <w:tc>
          <w:tcPr>
            <w:tcW w:w="379" w:type="pct"/>
            <w:tcBorders>
              <w:top w:val="single" w:color="000000" w:sz="8" w:space="0"/>
              <w:left w:val="single" w:color="000000" w:sz="8" w:space="0"/>
              <w:bottom w:val="single" w:color="000000" w:sz="8" w:space="0"/>
              <w:right w:val="single" w:color="000000" w:sz="8" w:space="0"/>
            </w:tcBorders>
            <w:vAlign w:val="center"/>
          </w:tcPr>
          <w:p w14:paraId="7D8ED4A8">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76019473">
            <w:pPr>
              <w:keepNext w:val="0"/>
              <w:keepLines w:val="0"/>
              <w:suppressLineNumbers w:val="0"/>
              <w:spacing w:before="0" w:beforeAutospacing="0" w:after="0" w:afterAutospacing="0"/>
              <w:ind w:left="0" w:right="0"/>
              <w:rPr>
                <w:rFonts w:hint="eastAsia" w:ascii="宋体" w:hAnsi="宋体" w:eastAsia="宋体" w:cs="宋体"/>
                <w:b/>
                <w:szCs w:val="21"/>
              </w:rPr>
            </w:pPr>
            <w:r>
              <w:rPr>
                <w:rFonts w:hint="eastAsia" w:ascii="宋体" w:hAnsi="宋体" w:eastAsia="宋体" w:cs="宋体"/>
                <w:b/>
                <w:szCs w:val="21"/>
              </w:rPr>
              <w:t>（一）评分内容：</w:t>
            </w:r>
          </w:p>
          <w:p w14:paraId="19A0DD1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szCs w:val="21"/>
                <w:highlight w:val="none"/>
              </w:rPr>
            </w:pPr>
            <w:bookmarkStart w:id="10" w:name="OLE_LINK30"/>
            <w:bookmarkStart w:id="11" w:name="OLE_LINK29"/>
            <w:r>
              <w:rPr>
                <w:rFonts w:hint="eastAsia" w:ascii="宋体" w:hAnsi="宋体" w:eastAsia="宋体" w:cs="宋体"/>
                <w:b w:val="0"/>
                <w:bCs/>
                <w:szCs w:val="21"/>
                <w:highlight w:val="none"/>
              </w:rPr>
              <w:t>投标人应如实填写《技术规格偏离表》，评审委员会根据技术需求参数响应情况进行打分。各项技术参数指标及要求全部满足的得满分，带▲的参数为重要条款，每项负偏离扣</w:t>
            </w:r>
            <w:r>
              <w:rPr>
                <w:rFonts w:hint="eastAsia" w:ascii="宋体" w:hAnsi="宋体" w:cs="宋体"/>
                <w:b w:val="0"/>
                <w:bCs/>
                <w:szCs w:val="21"/>
                <w:highlight w:val="none"/>
                <w:lang w:val="en-US" w:eastAsia="zh-CN"/>
              </w:rPr>
              <w:t>1.5</w:t>
            </w:r>
            <w:r>
              <w:rPr>
                <w:rFonts w:hint="eastAsia" w:ascii="宋体" w:hAnsi="宋体" w:eastAsia="宋体" w:cs="宋体"/>
                <w:b w:val="0"/>
                <w:bCs/>
                <w:szCs w:val="21"/>
                <w:highlight w:val="none"/>
              </w:rPr>
              <w:t>分</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总分</w:t>
            </w:r>
            <w:r>
              <w:rPr>
                <w:rFonts w:hint="eastAsia" w:ascii="宋体" w:hAnsi="宋体" w:cs="宋体"/>
                <w:b w:val="0"/>
                <w:bCs/>
                <w:szCs w:val="21"/>
                <w:highlight w:val="none"/>
                <w:lang w:val="en-US" w:eastAsia="zh-CN"/>
              </w:rPr>
              <w:t>6</w:t>
            </w:r>
            <w:r>
              <w:rPr>
                <w:rFonts w:hint="eastAsia" w:ascii="宋体" w:hAnsi="宋体" w:eastAsia="宋体" w:cs="宋体"/>
                <w:b w:val="0"/>
                <w:bCs/>
                <w:szCs w:val="21"/>
                <w:highlight w:val="none"/>
                <w:lang w:val="en-US" w:eastAsia="zh-CN"/>
              </w:rPr>
              <w:t>分）</w:t>
            </w:r>
            <w:del w:id="0" w:author="李先森。。。。（李璟）" w:date="2026-06-26T17:49:31Z">
              <w:bookmarkStart w:id="12" w:name="_GoBack"/>
              <w:bookmarkEnd w:id="12"/>
              <w:r>
                <w:rPr>
                  <w:rFonts w:hint="eastAsia" w:ascii="宋体" w:hAnsi="宋体" w:eastAsia="宋体" w:cs="宋体"/>
                  <w:b w:val="0"/>
                  <w:bCs/>
                  <w:szCs w:val="21"/>
                  <w:highlight w:val="none"/>
                  <w:lang w:val="en-US" w:eastAsia="zh-CN"/>
                </w:rPr>
                <w:delText>共</w:delText>
              </w:r>
            </w:del>
            <w:r>
              <w:rPr>
                <w:rFonts w:hint="eastAsia" w:ascii="宋体" w:hAnsi="宋体" w:eastAsia="宋体" w:cs="宋体"/>
                <w:b w:val="0"/>
                <w:bCs/>
                <w:szCs w:val="21"/>
                <w:highlight w:val="none"/>
              </w:rPr>
              <w:t>，未标注“▲”的一般技术参数每项负偏离扣</w:t>
            </w:r>
            <w:r>
              <w:rPr>
                <w:rFonts w:hint="eastAsia" w:ascii="宋体" w:hAnsi="宋体" w:eastAsia="宋体" w:cs="宋体"/>
                <w:b w:val="0"/>
                <w:bCs/>
                <w:szCs w:val="21"/>
                <w:highlight w:val="none"/>
                <w:lang w:val="en-US" w:eastAsia="zh-CN"/>
              </w:rPr>
              <w:t>1</w:t>
            </w:r>
            <w:r>
              <w:rPr>
                <w:rFonts w:hint="eastAsia" w:ascii="宋体" w:hAnsi="宋体" w:eastAsia="宋体" w:cs="宋体"/>
                <w:b w:val="0"/>
                <w:bCs/>
                <w:szCs w:val="21"/>
                <w:highlight w:val="none"/>
              </w:rPr>
              <w:t>分</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总分</w:t>
            </w:r>
            <w:r>
              <w:rPr>
                <w:rFonts w:hint="eastAsia" w:ascii="宋体" w:hAnsi="宋体" w:cs="宋体"/>
                <w:b w:val="0"/>
                <w:bCs/>
                <w:szCs w:val="21"/>
                <w:highlight w:val="none"/>
                <w:lang w:val="en-US" w:eastAsia="zh-CN"/>
              </w:rPr>
              <w:t>4</w:t>
            </w:r>
            <w:r>
              <w:rPr>
                <w:rFonts w:hint="eastAsia" w:ascii="宋体" w:hAnsi="宋体" w:eastAsia="宋体" w:cs="宋体"/>
                <w:b w:val="0"/>
                <w:bCs/>
                <w:szCs w:val="21"/>
                <w:highlight w:val="none"/>
                <w:lang w:val="en-US" w:eastAsia="zh-CN"/>
              </w:rPr>
              <w:t>分）</w:t>
            </w:r>
            <w:r>
              <w:rPr>
                <w:rFonts w:hint="eastAsia" w:ascii="宋体" w:hAnsi="宋体" w:eastAsia="宋体" w:cs="宋体"/>
                <w:b w:val="0"/>
                <w:bCs/>
                <w:szCs w:val="21"/>
                <w:highlight w:val="none"/>
              </w:rPr>
              <w:t>，扣完为止。</w:t>
            </w:r>
            <w:bookmarkEnd w:id="10"/>
            <w:bookmarkEnd w:id="11"/>
          </w:p>
          <w:p w14:paraId="1F71B4C7">
            <w:pPr>
              <w:keepNext w:val="0"/>
              <w:keepLines w:val="0"/>
              <w:suppressLineNumbers w:val="0"/>
              <w:spacing w:before="0" w:beforeAutospacing="0" w:after="0" w:afterAutospacing="0"/>
              <w:ind w:left="0" w:right="0"/>
              <w:rPr>
                <w:rFonts w:hint="eastAsia" w:ascii="宋体" w:hAnsi="宋体" w:eastAsia="宋体" w:cs="宋体"/>
                <w:b/>
                <w:szCs w:val="21"/>
              </w:rPr>
            </w:pPr>
            <w:r>
              <w:rPr>
                <w:rFonts w:hint="eastAsia" w:ascii="宋体" w:hAnsi="宋体" w:eastAsia="宋体" w:cs="宋体"/>
                <w:b/>
                <w:szCs w:val="21"/>
              </w:rPr>
              <w:t>（二）评分依据：</w:t>
            </w:r>
          </w:p>
          <w:p w14:paraId="08E2EA39">
            <w:pPr>
              <w:pStyle w:val="3"/>
              <w:spacing w:line="240" w:lineRule="auto"/>
              <w:rPr>
                <w:rFonts w:hint="eastAsia" w:ascii="宋体" w:hAnsi="宋体" w:eastAsia="宋体" w:cs="宋体"/>
                <w:color w:val="auto"/>
                <w:sz w:val="21"/>
                <w:szCs w:val="21"/>
                <w:highlight w:val="none"/>
              </w:rPr>
            </w:pPr>
            <w:r>
              <w:rPr>
                <w:rFonts w:hint="eastAsia" w:ascii="宋体" w:hAnsi="宋体" w:eastAsia="宋体" w:cs="宋体"/>
                <w:b w:val="0"/>
                <w:bCs/>
                <w:sz w:val="21"/>
                <w:szCs w:val="18"/>
              </w:rPr>
              <w:t>1、技术参数是否判定偏离，以投标人响应技术标准及按要求提供的相关检验报告及其他证明材料为准。投标人未按要求提供或提供不符合招标要求的证明文件，视为负偏离。</w:t>
            </w:r>
            <w:r>
              <w:rPr>
                <w:rFonts w:hint="eastAsia" w:ascii="宋体" w:hAnsi="宋体" w:eastAsia="宋体" w:cs="宋体"/>
                <w:color w:val="auto"/>
                <w:sz w:val="21"/>
                <w:szCs w:val="21"/>
                <w:highlight w:val="none"/>
              </w:rPr>
              <w:t>注：投标人所填写的技术服务要求偏离情况必须与客观事实相一致，投标人响应不实且情节严重的，将被主管部门依法列为失信信息等法律后果。</w:t>
            </w:r>
          </w:p>
          <w:p w14:paraId="4A4D4841">
            <w:pPr>
              <w:pStyle w:val="3"/>
              <w:rPr>
                <w:rFonts w:hint="eastAsia"/>
              </w:rPr>
            </w:pPr>
          </w:p>
        </w:tc>
      </w:tr>
      <w:tr w14:paraId="4F404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left w:val="single" w:color="000000" w:sz="8" w:space="0"/>
              <w:right w:val="single" w:color="000000" w:sz="8" w:space="0"/>
            </w:tcBorders>
            <w:vAlign w:val="center"/>
          </w:tcPr>
          <w:p w14:paraId="0CBA87E1">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vAlign w:val="center"/>
          </w:tcPr>
          <w:p w14:paraId="6E2A6A9A">
            <w:pPr>
              <w:widowControl/>
              <w:wordWrap w:val="0"/>
              <w:jc w:val="center"/>
              <w:textAlignment w:val="top"/>
              <w:rPr>
                <w:rFonts w:hint="eastAsia" w:ascii="宋体" w:hAnsi="宋体" w:eastAsia="宋体" w:cs="宋体"/>
                <w:szCs w:val="21"/>
                <w:lang w:eastAsia="zh-CN"/>
              </w:rPr>
            </w:pPr>
            <w:r>
              <w:rPr>
                <w:rFonts w:hint="eastAsia" w:ascii="宋体" w:hAnsi="宋体" w:cs="宋体"/>
                <w:kern w:val="0"/>
                <w:szCs w:val="21"/>
                <w:lang w:val="en-US" w:eastAsia="zh-CN"/>
              </w:rPr>
              <w:t>2</w:t>
            </w:r>
          </w:p>
        </w:tc>
        <w:tc>
          <w:tcPr>
            <w:tcW w:w="1562" w:type="pct"/>
            <w:tcBorders>
              <w:top w:val="single" w:color="000000" w:sz="8" w:space="0"/>
              <w:left w:val="single" w:color="000000" w:sz="8" w:space="0"/>
              <w:bottom w:val="single" w:color="000000" w:sz="8" w:space="0"/>
              <w:right w:val="single" w:color="000000" w:sz="8" w:space="0"/>
            </w:tcBorders>
            <w:vAlign w:val="center"/>
          </w:tcPr>
          <w:p w14:paraId="1F175362">
            <w:pPr>
              <w:wordWrap w:val="0"/>
              <w:jc w:val="center"/>
              <w:rPr>
                <w:rFonts w:hint="eastAsia" w:ascii="宋体" w:hAnsi="宋体" w:cs="宋体"/>
                <w:szCs w:val="21"/>
              </w:rPr>
            </w:pPr>
            <w:r>
              <w:rPr>
                <w:rFonts w:hint="eastAsia" w:ascii="宋体" w:hAnsi="宋体" w:cs="宋体"/>
                <w:szCs w:val="21"/>
              </w:rPr>
              <w:t>总体服务方案</w:t>
            </w:r>
          </w:p>
        </w:tc>
        <w:tc>
          <w:tcPr>
            <w:tcW w:w="379" w:type="pct"/>
            <w:tcBorders>
              <w:top w:val="single" w:color="000000" w:sz="8" w:space="0"/>
              <w:left w:val="single" w:color="000000" w:sz="8" w:space="0"/>
              <w:bottom w:val="single" w:color="000000" w:sz="8" w:space="0"/>
              <w:right w:val="single" w:color="000000" w:sz="8" w:space="0"/>
            </w:tcBorders>
            <w:vAlign w:val="center"/>
          </w:tcPr>
          <w:p w14:paraId="69F7CD97">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41BF292E">
            <w:pPr>
              <w:numPr>
                <w:ilvl w:val="0"/>
                <w:numId w:val="9"/>
              </w:numPr>
              <w:adjustRightInd w:val="0"/>
              <w:snapToGrid w:val="0"/>
              <w:textAlignment w:val="center"/>
              <w:rPr>
                <w:rFonts w:hint="eastAsia" w:ascii="宋体" w:hAnsi="宋体" w:cs="宋体"/>
                <w:b/>
                <w:bCs/>
                <w:szCs w:val="21"/>
              </w:rPr>
            </w:pPr>
            <w:r>
              <w:rPr>
                <w:rFonts w:hint="eastAsia" w:ascii="宋体" w:hAnsi="宋体" w:cs="宋体"/>
                <w:b/>
                <w:bCs/>
                <w:szCs w:val="21"/>
              </w:rPr>
              <w:t>评分内容：</w:t>
            </w:r>
          </w:p>
          <w:p w14:paraId="426F0029">
            <w:pPr>
              <w:pStyle w:val="2"/>
              <w:rPr>
                <w:rFonts w:hint="eastAsia" w:hAnsi="宋体" w:cs="宋体"/>
                <w:sz w:val="21"/>
                <w:szCs w:val="21"/>
              </w:rPr>
            </w:pPr>
            <w:r>
              <w:rPr>
                <w:rFonts w:hint="eastAsia" w:hAnsi="宋体" w:cs="宋体"/>
                <w:sz w:val="21"/>
                <w:szCs w:val="21"/>
              </w:rPr>
              <w:t>总体服务方案，包括但不限于以下内容：</w:t>
            </w:r>
          </w:p>
          <w:p w14:paraId="70C8EF21">
            <w:pPr>
              <w:numPr>
                <w:ilvl w:val="0"/>
                <w:numId w:val="10"/>
              </w:numPr>
              <w:adjustRightInd w:val="0"/>
              <w:snapToGrid w:val="0"/>
              <w:textAlignment w:val="center"/>
              <w:rPr>
                <w:rFonts w:hint="eastAsia" w:ascii="宋体" w:hAnsi="宋体" w:cs="宋体"/>
                <w:szCs w:val="21"/>
              </w:rPr>
            </w:pPr>
            <w:r>
              <w:rPr>
                <w:rFonts w:hint="eastAsia" w:ascii="宋体" w:hAnsi="宋体" w:cs="宋体"/>
                <w:szCs w:val="21"/>
              </w:rPr>
              <w:t>考察企业的生产能力，确保产品的来源安全；提供生产设备的参数和生产流程具体措施。</w:t>
            </w:r>
          </w:p>
          <w:p w14:paraId="42E0D747">
            <w:pPr>
              <w:numPr>
                <w:ilvl w:val="0"/>
                <w:numId w:val="10"/>
              </w:numPr>
              <w:adjustRightInd w:val="0"/>
              <w:snapToGrid w:val="0"/>
              <w:textAlignment w:val="center"/>
              <w:rPr>
                <w:rFonts w:hint="eastAsia" w:ascii="宋体" w:hAnsi="宋体" w:cs="宋体"/>
                <w:szCs w:val="21"/>
              </w:rPr>
            </w:pPr>
            <w:r>
              <w:rPr>
                <w:rFonts w:hint="eastAsia" w:ascii="宋体" w:hAnsi="宋体" w:cs="宋体"/>
                <w:szCs w:val="21"/>
              </w:rPr>
              <w:t>考察企业的科研能力，详细描述研发实力及科研支持方案并提供放射性药品Ⅰ类新药临床试验的证明文件；</w:t>
            </w:r>
          </w:p>
          <w:p w14:paraId="611E7431">
            <w:pPr>
              <w:numPr>
                <w:ilvl w:val="0"/>
                <w:numId w:val="10"/>
              </w:numPr>
              <w:adjustRightInd w:val="0"/>
              <w:snapToGrid w:val="0"/>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考察企业的药物生产委托服务能力，提供合作技术方案</w:t>
            </w:r>
          </w:p>
          <w:p w14:paraId="14EF2804">
            <w:pPr>
              <w:pStyle w:val="2"/>
              <w:rPr>
                <w:rFonts w:hint="eastAsia" w:hAnsi="宋体" w:cs="宋体"/>
                <w:b/>
                <w:bCs/>
                <w:sz w:val="21"/>
                <w:szCs w:val="21"/>
              </w:rPr>
            </w:pPr>
            <w:r>
              <w:rPr>
                <w:rFonts w:hint="eastAsia" w:hAnsi="宋体" w:cs="宋体"/>
                <w:b/>
                <w:bCs/>
                <w:sz w:val="21"/>
                <w:szCs w:val="21"/>
              </w:rPr>
              <w:t>（二）评分依据：</w:t>
            </w:r>
          </w:p>
          <w:p w14:paraId="6A2280B7">
            <w:pPr>
              <w:pStyle w:val="2"/>
              <w:autoSpaceDE/>
              <w:autoSpaceDN/>
              <w:adjustRightInd/>
              <w:textAlignment w:val="auto"/>
              <w:rPr>
                <w:rFonts w:hint="eastAsia" w:hAnsi="宋体" w:cs="宋体"/>
                <w:sz w:val="21"/>
                <w:szCs w:val="21"/>
              </w:rPr>
            </w:pPr>
            <w:r>
              <w:rPr>
                <w:rFonts w:hint="eastAsia" w:hAnsi="宋体" w:cs="宋体"/>
                <w:sz w:val="21"/>
                <w:szCs w:val="21"/>
              </w:rPr>
              <w:t>优：内容详实，措施得当，针对性和可行性强，</w:t>
            </w:r>
            <w:r>
              <w:rPr>
                <w:rFonts w:hint="eastAsia" w:hAnsi="宋体" w:cs="宋体"/>
                <w:sz w:val="21"/>
                <w:szCs w:val="21"/>
                <w:lang w:val="en-US" w:eastAsia="zh-CN"/>
              </w:rPr>
              <w:t>3</w:t>
            </w:r>
            <w:r>
              <w:rPr>
                <w:rFonts w:hint="eastAsia" w:hAnsi="宋体" w:cs="宋体"/>
                <w:sz w:val="21"/>
                <w:szCs w:val="21"/>
              </w:rPr>
              <w:t>0分；</w:t>
            </w:r>
          </w:p>
          <w:p w14:paraId="020E47F6">
            <w:pPr>
              <w:pStyle w:val="2"/>
              <w:autoSpaceDE/>
              <w:autoSpaceDN/>
              <w:adjustRightInd/>
              <w:textAlignment w:val="auto"/>
              <w:rPr>
                <w:rFonts w:hint="eastAsia" w:hAnsi="宋体" w:cs="宋体"/>
                <w:sz w:val="21"/>
                <w:szCs w:val="21"/>
              </w:rPr>
            </w:pPr>
            <w:r>
              <w:rPr>
                <w:rFonts w:hint="eastAsia" w:hAnsi="宋体" w:cs="宋体"/>
                <w:sz w:val="21"/>
                <w:szCs w:val="21"/>
              </w:rPr>
              <w:t>良：内容较为详实，措施较得当，针对性和可行性较强，</w:t>
            </w:r>
            <w:r>
              <w:rPr>
                <w:rFonts w:hint="eastAsia" w:hAnsi="宋体" w:cs="宋体"/>
                <w:sz w:val="21"/>
                <w:szCs w:val="21"/>
                <w:lang w:val="en-US" w:eastAsia="zh-CN"/>
              </w:rPr>
              <w:t>22</w:t>
            </w:r>
            <w:r>
              <w:rPr>
                <w:rFonts w:hint="eastAsia" w:hAnsi="宋体" w:cs="宋体"/>
                <w:sz w:val="21"/>
                <w:szCs w:val="21"/>
              </w:rPr>
              <w:t>分；</w:t>
            </w:r>
          </w:p>
          <w:p w14:paraId="42CDCC2A">
            <w:pPr>
              <w:pStyle w:val="2"/>
              <w:autoSpaceDE/>
              <w:autoSpaceDN/>
              <w:adjustRightInd/>
              <w:textAlignment w:val="auto"/>
              <w:rPr>
                <w:rFonts w:hint="eastAsia" w:hAnsi="宋体" w:cs="宋体"/>
                <w:sz w:val="21"/>
                <w:szCs w:val="21"/>
              </w:rPr>
            </w:pPr>
            <w:r>
              <w:rPr>
                <w:rFonts w:hint="eastAsia" w:hAnsi="宋体" w:cs="宋体"/>
                <w:sz w:val="21"/>
                <w:szCs w:val="21"/>
              </w:rPr>
              <w:t>中：内容不够详实，措施合理性、针对性和可行性一般，</w:t>
            </w:r>
            <w:r>
              <w:rPr>
                <w:rFonts w:hint="eastAsia" w:hAnsi="宋体" w:cs="宋体"/>
                <w:sz w:val="21"/>
                <w:szCs w:val="21"/>
                <w:lang w:val="en-US" w:eastAsia="zh-CN"/>
              </w:rPr>
              <w:t>15</w:t>
            </w:r>
            <w:r>
              <w:rPr>
                <w:rFonts w:hint="eastAsia" w:hAnsi="宋体" w:cs="宋体"/>
                <w:sz w:val="21"/>
                <w:szCs w:val="21"/>
              </w:rPr>
              <w:t>分；</w:t>
            </w:r>
          </w:p>
          <w:p w14:paraId="1E99F356">
            <w:pPr>
              <w:pStyle w:val="3"/>
              <w:spacing w:line="240" w:lineRule="auto"/>
              <w:rPr>
                <w:rFonts w:hint="eastAsia" w:ascii="宋体" w:hAnsi="宋体" w:cs="宋体"/>
                <w:b w:val="0"/>
                <w:bCs w:val="0"/>
                <w:kern w:val="0"/>
                <w:sz w:val="21"/>
                <w:szCs w:val="21"/>
              </w:rPr>
            </w:pPr>
            <w:r>
              <w:rPr>
                <w:rFonts w:hint="eastAsia" w:ascii="宋体" w:hAnsi="宋体" w:cs="宋体"/>
                <w:b w:val="0"/>
                <w:bCs w:val="0"/>
                <w:kern w:val="0"/>
                <w:sz w:val="21"/>
                <w:szCs w:val="21"/>
              </w:rPr>
              <w:t>差：存在内容缺失，措施不合理、不具有针对性的，不得分。</w:t>
            </w:r>
          </w:p>
          <w:p w14:paraId="79E05ED0">
            <w:pPr>
              <w:pStyle w:val="3"/>
              <w:spacing w:line="240" w:lineRule="auto"/>
              <w:rPr>
                <w:rFonts w:hint="eastAsia" w:ascii="宋体" w:hAnsi="宋体" w:cs="宋体"/>
                <w:sz w:val="21"/>
                <w:szCs w:val="21"/>
              </w:rPr>
            </w:pPr>
            <w:r>
              <w:rPr>
                <w:rFonts w:hint="eastAsia" w:ascii="宋体" w:hAnsi="宋体" w:cs="宋体"/>
                <w:b w:val="0"/>
                <w:bCs w:val="0"/>
                <w:kern w:val="0"/>
                <w:sz w:val="21"/>
                <w:szCs w:val="21"/>
              </w:rPr>
              <w:t>如果评审为差，要求专家书面说明理由，并记录在档。</w:t>
            </w:r>
          </w:p>
        </w:tc>
      </w:tr>
      <w:tr w14:paraId="58EE3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left w:val="single" w:color="000000" w:sz="8" w:space="0"/>
              <w:right w:val="single" w:color="000000" w:sz="8" w:space="0"/>
            </w:tcBorders>
            <w:vAlign w:val="center"/>
          </w:tcPr>
          <w:p w14:paraId="4BD7D7A7">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vAlign w:val="center"/>
          </w:tcPr>
          <w:p w14:paraId="1B0EEDC4">
            <w:pPr>
              <w:widowControl/>
              <w:wordWrap w:val="0"/>
              <w:jc w:val="center"/>
              <w:textAlignment w:val="top"/>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562" w:type="pct"/>
            <w:tcBorders>
              <w:top w:val="single" w:color="000000" w:sz="8" w:space="0"/>
              <w:left w:val="single" w:color="000000" w:sz="8" w:space="0"/>
              <w:bottom w:val="single" w:color="000000" w:sz="8" w:space="0"/>
              <w:right w:val="single" w:color="000000" w:sz="8" w:space="0"/>
            </w:tcBorders>
            <w:vAlign w:val="center"/>
          </w:tcPr>
          <w:p w14:paraId="08253D6D">
            <w:pPr>
              <w:wordWrap w:val="0"/>
              <w:jc w:val="center"/>
              <w:rPr>
                <w:rFonts w:hint="eastAsia" w:ascii="宋体" w:hAnsi="宋体" w:cs="宋体"/>
                <w:szCs w:val="21"/>
              </w:rPr>
            </w:pPr>
            <w:r>
              <w:rPr>
                <w:rFonts w:hint="eastAsia" w:ascii="宋体" w:hAnsi="宋体" w:cs="宋体"/>
                <w:szCs w:val="21"/>
              </w:rPr>
              <w:t>质量保障措施</w:t>
            </w:r>
          </w:p>
        </w:tc>
        <w:tc>
          <w:tcPr>
            <w:tcW w:w="379" w:type="pct"/>
            <w:tcBorders>
              <w:top w:val="single" w:color="000000" w:sz="8" w:space="0"/>
              <w:left w:val="single" w:color="000000" w:sz="8" w:space="0"/>
              <w:bottom w:val="single" w:color="000000" w:sz="8" w:space="0"/>
              <w:right w:val="single" w:color="000000" w:sz="8" w:space="0"/>
            </w:tcBorders>
            <w:vAlign w:val="center"/>
          </w:tcPr>
          <w:p w14:paraId="3752C04C">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319B0EB6">
            <w:pPr>
              <w:pStyle w:val="2"/>
              <w:rPr>
                <w:rFonts w:hint="eastAsia" w:hAnsi="宋体" w:cs="宋体"/>
                <w:b/>
                <w:bCs/>
                <w:sz w:val="21"/>
                <w:szCs w:val="21"/>
              </w:rPr>
            </w:pPr>
            <w:r>
              <w:rPr>
                <w:rFonts w:hint="eastAsia" w:hAnsi="宋体" w:cs="宋体"/>
                <w:b/>
                <w:bCs/>
                <w:sz w:val="21"/>
                <w:szCs w:val="21"/>
              </w:rPr>
              <w:t>（一）评分内容：</w:t>
            </w:r>
          </w:p>
          <w:p w14:paraId="39D8E4F5">
            <w:pPr>
              <w:pStyle w:val="2"/>
              <w:rPr>
                <w:rFonts w:hint="eastAsia" w:hAnsi="宋体" w:cs="宋体"/>
                <w:sz w:val="21"/>
                <w:szCs w:val="21"/>
              </w:rPr>
            </w:pPr>
            <w:r>
              <w:rPr>
                <w:rFonts w:hint="eastAsia" w:hAnsi="宋体" w:cs="宋体"/>
                <w:sz w:val="21"/>
                <w:szCs w:val="21"/>
              </w:rPr>
              <w:t>质量保证措施包括，包括但不限于以下内容：</w:t>
            </w:r>
          </w:p>
          <w:p w14:paraId="4C90A078">
            <w:pPr>
              <w:pStyle w:val="15"/>
              <w:ind w:firstLine="0" w:firstLineChars="0"/>
              <w:rPr>
                <w:rFonts w:hint="eastAsia" w:ascii="宋体" w:hAnsi="宋体" w:cs="宋体"/>
                <w:sz w:val="21"/>
                <w:szCs w:val="21"/>
              </w:rPr>
            </w:pPr>
            <w:r>
              <w:rPr>
                <w:rFonts w:hint="eastAsia" w:ascii="宋体" w:hAnsi="宋体" w:cs="宋体"/>
                <w:sz w:val="21"/>
                <w:szCs w:val="21"/>
              </w:rPr>
              <w:t>1、药品的质量管理方案，包括药品生产管理、质量检验的内容及关键岗位人员的情况（设置服务热线及邮箱号，专人服务，专人跟踪）内容；</w:t>
            </w:r>
          </w:p>
          <w:p w14:paraId="5B63379A">
            <w:pPr>
              <w:pStyle w:val="15"/>
              <w:ind w:firstLine="0" w:firstLineChars="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、药品的包装以及辐射防护管理方案。</w:t>
            </w:r>
          </w:p>
          <w:p w14:paraId="55001F72">
            <w:pPr>
              <w:pStyle w:val="15"/>
              <w:ind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3、投标人使用医院回旋加速器生产药品的质量管理方案</w:t>
            </w:r>
          </w:p>
          <w:p w14:paraId="145F4C5B">
            <w:pPr>
              <w:pStyle w:val="2"/>
              <w:rPr>
                <w:rFonts w:hint="eastAsia" w:hAnsi="宋体" w:cs="宋体"/>
                <w:b/>
                <w:bCs/>
                <w:sz w:val="21"/>
                <w:szCs w:val="21"/>
              </w:rPr>
            </w:pPr>
            <w:r>
              <w:rPr>
                <w:rFonts w:hint="eastAsia" w:hAnsi="宋体" w:cs="宋体"/>
                <w:b/>
                <w:bCs/>
                <w:sz w:val="21"/>
                <w:szCs w:val="21"/>
              </w:rPr>
              <w:t>（二）评分依据：</w:t>
            </w:r>
          </w:p>
          <w:p w14:paraId="0E307352">
            <w:pPr>
              <w:pStyle w:val="2"/>
              <w:autoSpaceDE/>
              <w:autoSpaceDN/>
              <w:adjustRightInd/>
              <w:textAlignment w:val="auto"/>
              <w:rPr>
                <w:rFonts w:hint="eastAsia" w:hAnsi="宋体" w:cs="宋体"/>
                <w:sz w:val="21"/>
                <w:szCs w:val="21"/>
              </w:rPr>
            </w:pPr>
            <w:r>
              <w:rPr>
                <w:rFonts w:hint="eastAsia" w:hAnsi="宋体" w:cs="宋体"/>
                <w:sz w:val="21"/>
                <w:szCs w:val="21"/>
              </w:rPr>
              <w:t>优：内容详实，措施得当，针对性和可行性强，</w:t>
            </w:r>
            <w:r>
              <w:rPr>
                <w:rFonts w:hint="eastAsia" w:hAnsi="宋体" w:cs="宋体"/>
                <w:sz w:val="21"/>
                <w:szCs w:val="21"/>
                <w:lang w:val="en-US" w:eastAsia="zh-CN"/>
              </w:rPr>
              <w:t>8</w:t>
            </w:r>
            <w:r>
              <w:rPr>
                <w:rFonts w:hint="eastAsia" w:hAnsi="宋体" w:cs="宋体"/>
                <w:sz w:val="21"/>
                <w:szCs w:val="21"/>
              </w:rPr>
              <w:t>分；</w:t>
            </w:r>
          </w:p>
          <w:p w14:paraId="65FFA01F">
            <w:pPr>
              <w:pStyle w:val="2"/>
              <w:autoSpaceDE/>
              <w:autoSpaceDN/>
              <w:adjustRightInd/>
              <w:textAlignment w:val="auto"/>
              <w:rPr>
                <w:rFonts w:hint="eastAsia" w:hAnsi="宋体" w:cs="宋体"/>
                <w:sz w:val="21"/>
                <w:szCs w:val="21"/>
              </w:rPr>
            </w:pPr>
            <w:r>
              <w:rPr>
                <w:rFonts w:hint="eastAsia" w:hAnsi="宋体" w:cs="宋体"/>
                <w:sz w:val="21"/>
                <w:szCs w:val="21"/>
              </w:rPr>
              <w:t>良：内容较为详实，措施较得当，针对性和可行性较强，</w:t>
            </w:r>
            <w:r>
              <w:rPr>
                <w:rFonts w:hint="eastAsia" w:hAnsi="宋体" w:cs="宋体"/>
                <w:sz w:val="21"/>
                <w:szCs w:val="21"/>
                <w:lang w:val="en-US" w:eastAsia="zh-CN"/>
              </w:rPr>
              <w:t>6</w:t>
            </w:r>
            <w:r>
              <w:rPr>
                <w:rFonts w:hint="eastAsia" w:hAnsi="宋体" w:cs="宋体"/>
                <w:sz w:val="21"/>
                <w:szCs w:val="21"/>
              </w:rPr>
              <w:t>分；</w:t>
            </w:r>
          </w:p>
          <w:p w14:paraId="435877A0">
            <w:pPr>
              <w:pStyle w:val="2"/>
              <w:autoSpaceDE/>
              <w:autoSpaceDN/>
              <w:adjustRightInd/>
              <w:textAlignment w:val="auto"/>
              <w:rPr>
                <w:rFonts w:hint="eastAsia" w:hAnsi="宋体" w:cs="宋体"/>
                <w:sz w:val="21"/>
                <w:szCs w:val="21"/>
              </w:rPr>
            </w:pPr>
            <w:r>
              <w:rPr>
                <w:rFonts w:hint="eastAsia" w:hAnsi="宋体" w:cs="宋体"/>
                <w:sz w:val="21"/>
                <w:szCs w:val="21"/>
              </w:rPr>
              <w:t>中：内容不够详实，措施合理性、针对性和可行性一般，</w:t>
            </w:r>
            <w:r>
              <w:rPr>
                <w:rFonts w:hint="eastAsia" w:hAnsi="宋体" w:cs="宋体"/>
                <w:sz w:val="21"/>
                <w:szCs w:val="21"/>
                <w:lang w:val="en-US" w:eastAsia="zh-CN"/>
              </w:rPr>
              <w:t>4</w:t>
            </w:r>
            <w:r>
              <w:rPr>
                <w:rFonts w:hint="eastAsia" w:hAnsi="宋体" w:cs="宋体"/>
                <w:sz w:val="21"/>
                <w:szCs w:val="21"/>
              </w:rPr>
              <w:t>分；</w:t>
            </w:r>
          </w:p>
          <w:p w14:paraId="09A9DF98">
            <w:pPr>
              <w:pStyle w:val="2"/>
              <w:rPr>
                <w:rFonts w:hint="eastAsia" w:hAnsi="宋体" w:cs="宋体"/>
                <w:sz w:val="21"/>
                <w:szCs w:val="21"/>
              </w:rPr>
            </w:pPr>
            <w:r>
              <w:rPr>
                <w:rFonts w:hint="eastAsia" w:hAnsi="宋体" w:cs="宋体"/>
                <w:sz w:val="21"/>
                <w:szCs w:val="21"/>
              </w:rPr>
              <w:t>差：存在内容缺失，措施不合理、不具有针对性的，不得分。</w:t>
            </w:r>
          </w:p>
          <w:p w14:paraId="312EAF7C">
            <w:pPr>
              <w:pStyle w:val="2"/>
              <w:rPr>
                <w:rFonts w:hint="eastAsia" w:hAnsi="宋体" w:cs="宋体"/>
                <w:kern w:val="2"/>
                <w:sz w:val="21"/>
                <w:szCs w:val="21"/>
              </w:rPr>
            </w:pPr>
            <w:r>
              <w:rPr>
                <w:rFonts w:hint="eastAsia" w:hAnsi="宋体" w:cs="宋体"/>
                <w:sz w:val="21"/>
                <w:szCs w:val="21"/>
              </w:rPr>
              <w:t>如果评审为差，要求专家书面说明理由，并记录在档。</w:t>
            </w:r>
          </w:p>
        </w:tc>
      </w:tr>
      <w:tr w14:paraId="2C35E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left w:val="single" w:color="000000" w:sz="8" w:space="0"/>
              <w:right w:val="single" w:color="000000" w:sz="8" w:space="0"/>
            </w:tcBorders>
            <w:vAlign w:val="center"/>
          </w:tcPr>
          <w:p w14:paraId="425652D2">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vAlign w:val="center"/>
          </w:tcPr>
          <w:p w14:paraId="7A47CE47">
            <w:pPr>
              <w:widowControl/>
              <w:wordWrap w:val="0"/>
              <w:jc w:val="center"/>
              <w:textAlignment w:val="top"/>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562" w:type="pct"/>
            <w:tcBorders>
              <w:top w:val="single" w:color="000000" w:sz="8" w:space="0"/>
              <w:left w:val="single" w:color="000000" w:sz="8" w:space="0"/>
              <w:bottom w:val="single" w:color="000000" w:sz="8" w:space="0"/>
              <w:right w:val="single" w:color="000000" w:sz="8" w:space="0"/>
            </w:tcBorders>
            <w:vAlign w:val="center"/>
          </w:tcPr>
          <w:p w14:paraId="422D0621">
            <w:pPr>
              <w:wordWrap w:val="0"/>
              <w:jc w:val="center"/>
              <w:rPr>
                <w:rFonts w:hint="eastAsia" w:ascii="宋体" w:hAnsi="宋体" w:cs="宋体"/>
                <w:szCs w:val="21"/>
              </w:rPr>
            </w:pPr>
            <w:r>
              <w:rPr>
                <w:rFonts w:hint="eastAsia" w:ascii="宋体" w:hAnsi="宋体" w:cs="宋体"/>
                <w:szCs w:val="21"/>
              </w:rPr>
              <w:t>放射性药品</w:t>
            </w:r>
            <w:r>
              <w:rPr>
                <w:rFonts w:hint="eastAsia" w:ascii="宋体" w:hAnsi="宋体" w:cs="宋体"/>
                <w:szCs w:val="21"/>
                <w:lang w:val="en-US" w:eastAsia="zh-CN"/>
              </w:rPr>
              <w:t>配送</w:t>
            </w:r>
            <w:r>
              <w:rPr>
                <w:rFonts w:hint="eastAsia" w:ascii="宋体" w:hAnsi="宋体" w:cs="宋体"/>
                <w:szCs w:val="21"/>
              </w:rPr>
              <w:t>时效性承诺</w:t>
            </w:r>
          </w:p>
        </w:tc>
        <w:tc>
          <w:tcPr>
            <w:tcW w:w="379" w:type="pct"/>
            <w:tcBorders>
              <w:top w:val="single" w:color="000000" w:sz="8" w:space="0"/>
              <w:left w:val="single" w:color="000000" w:sz="8" w:space="0"/>
              <w:bottom w:val="single" w:color="000000" w:sz="8" w:space="0"/>
              <w:right w:val="single" w:color="000000" w:sz="8" w:space="0"/>
            </w:tcBorders>
            <w:vAlign w:val="center"/>
          </w:tcPr>
          <w:p w14:paraId="4F2B1C4D">
            <w:pPr>
              <w:wordWrap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52659BA0">
            <w:pPr>
              <w:pStyle w:val="2"/>
              <w:autoSpaceDE/>
              <w:autoSpaceDN/>
              <w:adjustRightInd/>
              <w:textAlignment w:val="auto"/>
              <w:rPr>
                <w:rFonts w:hint="eastAsia" w:hAnsi="宋体" w:cs="宋体"/>
                <w:b/>
                <w:bCs/>
                <w:sz w:val="21"/>
                <w:szCs w:val="21"/>
              </w:rPr>
            </w:pPr>
            <w:r>
              <w:rPr>
                <w:rFonts w:hint="eastAsia" w:hAnsi="宋体" w:cs="宋体"/>
                <w:b/>
                <w:bCs/>
                <w:sz w:val="21"/>
                <w:szCs w:val="21"/>
              </w:rPr>
              <w:t>（一）评分内容：</w:t>
            </w:r>
          </w:p>
          <w:p w14:paraId="07236D45">
            <w:pPr>
              <w:pStyle w:val="2"/>
              <w:autoSpaceDE/>
              <w:autoSpaceDN/>
              <w:adjustRightInd/>
              <w:textAlignment w:val="auto"/>
              <w:rPr>
                <w:rFonts w:hint="eastAsia" w:hAnsi="宋体" w:cs="宋体"/>
                <w:sz w:val="21"/>
                <w:szCs w:val="21"/>
              </w:rPr>
            </w:pPr>
            <w:r>
              <w:rPr>
                <w:rFonts w:hint="eastAsia" w:hAnsi="宋体" w:cs="宋体"/>
                <w:sz w:val="21"/>
                <w:szCs w:val="21"/>
              </w:rPr>
              <w:t xml:space="preserve">根据投标人对配送时间的承诺进行评审： </w:t>
            </w:r>
          </w:p>
          <w:p w14:paraId="6A3D9ED0">
            <w:pPr>
              <w:pStyle w:val="2"/>
              <w:autoSpaceDE/>
              <w:autoSpaceDN/>
              <w:adjustRightInd/>
              <w:textAlignment w:val="auto"/>
              <w:rPr>
                <w:rFonts w:hint="eastAsia" w:hAnsi="宋体" w:cs="宋体"/>
                <w:sz w:val="21"/>
                <w:szCs w:val="21"/>
              </w:rPr>
            </w:pPr>
            <w:r>
              <w:rPr>
                <w:rFonts w:hint="eastAsia" w:hAnsi="宋体" w:cs="宋体"/>
                <w:sz w:val="21"/>
                <w:szCs w:val="21"/>
              </w:rPr>
              <w:t>优：）供应商承诺，采购人下单后60分钟内送达采购人指定地点，</w:t>
            </w:r>
            <w:r>
              <w:rPr>
                <w:rFonts w:hint="eastAsia" w:hAnsi="宋体" w:cs="宋体"/>
                <w:sz w:val="21"/>
                <w:szCs w:val="21"/>
                <w:lang w:val="en-US" w:eastAsia="zh-CN"/>
              </w:rPr>
              <w:t>5</w:t>
            </w:r>
            <w:r>
              <w:rPr>
                <w:rFonts w:hint="eastAsia" w:hAnsi="宋体" w:cs="宋体"/>
                <w:sz w:val="21"/>
                <w:szCs w:val="21"/>
              </w:rPr>
              <w:t>分；</w:t>
            </w:r>
          </w:p>
          <w:p w14:paraId="369300FF">
            <w:pPr>
              <w:pStyle w:val="2"/>
              <w:autoSpaceDE/>
              <w:autoSpaceDN/>
              <w:adjustRightInd/>
              <w:textAlignment w:val="auto"/>
              <w:rPr>
                <w:rFonts w:hint="eastAsia" w:hAnsi="宋体" w:cs="宋体"/>
                <w:sz w:val="21"/>
                <w:szCs w:val="21"/>
              </w:rPr>
            </w:pPr>
            <w:r>
              <w:rPr>
                <w:rFonts w:hint="eastAsia" w:hAnsi="宋体" w:cs="宋体"/>
                <w:sz w:val="21"/>
                <w:szCs w:val="21"/>
              </w:rPr>
              <w:t>良：供应商承诺，采购人下单后90分钟内送达采购人指定地点，</w:t>
            </w:r>
            <w:r>
              <w:rPr>
                <w:rFonts w:hint="eastAsia" w:hAnsi="宋体" w:cs="宋体"/>
                <w:sz w:val="21"/>
                <w:szCs w:val="21"/>
                <w:lang w:val="en-US" w:eastAsia="zh-CN"/>
              </w:rPr>
              <w:t>3</w:t>
            </w:r>
            <w:r>
              <w:rPr>
                <w:rFonts w:hint="eastAsia" w:hAnsi="宋体" w:cs="宋体"/>
                <w:sz w:val="21"/>
                <w:szCs w:val="21"/>
              </w:rPr>
              <w:t>分；</w:t>
            </w:r>
          </w:p>
          <w:p w14:paraId="3BED019E">
            <w:pPr>
              <w:pStyle w:val="2"/>
              <w:autoSpaceDE/>
              <w:autoSpaceDN/>
              <w:adjustRightInd/>
              <w:textAlignment w:val="auto"/>
              <w:rPr>
                <w:rFonts w:hint="eastAsia" w:hAnsi="宋体" w:cs="宋体"/>
                <w:sz w:val="21"/>
                <w:szCs w:val="21"/>
              </w:rPr>
            </w:pPr>
            <w:r>
              <w:rPr>
                <w:rFonts w:hint="eastAsia" w:hAnsi="宋体" w:cs="宋体"/>
                <w:sz w:val="21"/>
                <w:szCs w:val="21"/>
              </w:rPr>
              <w:t>中：供应商承诺，采购人下单后120分钟内送达采购人指定地点，</w:t>
            </w:r>
            <w:r>
              <w:rPr>
                <w:rFonts w:hint="eastAsia" w:hAnsi="宋体" w:cs="宋体"/>
                <w:sz w:val="21"/>
                <w:szCs w:val="21"/>
                <w:lang w:val="en-US" w:eastAsia="zh-CN"/>
              </w:rPr>
              <w:t>2</w:t>
            </w:r>
            <w:r>
              <w:rPr>
                <w:rFonts w:hint="eastAsia" w:hAnsi="宋体" w:cs="宋体"/>
                <w:sz w:val="21"/>
                <w:szCs w:val="21"/>
              </w:rPr>
              <w:t>分；</w:t>
            </w:r>
          </w:p>
          <w:p w14:paraId="056AFEFF">
            <w:pPr>
              <w:pStyle w:val="2"/>
              <w:rPr>
                <w:rFonts w:hint="eastAsia" w:hAnsi="宋体" w:cs="宋体"/>
                <w:sz w:val="21"/>
                <w:szCs w:val="21"/>
              </w:rPr>
            </w:pPr>
            <w:r>
              <w:rPr>
                <w:rFonts w:hint="eastAsia" w:hAnsi="宋体" w:cs="宋体"/>
                <w:sz w:val="21"/>
                <w:szCs w:val="21"/>
              </w:rPr>
              <w:t>差：其余情况不得分。</w:t>
            </w:r>
          </w:p>
          <w:p w14:paraId="115C9B38">
            <w:pPr>
              <w:pStyle w:val="2"/>
              <w:autoSpaceDE/>
              <w:autoSpaceDN/>
              <w:adjustRightInd/>
              <w:textAlignment w:val="auto"/>
              <w:rPr>
                <w:rFonts w:hint="eastAsia" w:hAnsi="宋体" w:cs="宋体"/>
                <w:sz w:val="21"/>
                <w:szCs w:val="21"/>
              </w:rPr>
            </w:pPr>
            <w:r>
              <w:rPr>
                <w:rFonts w:hint="eastAsia" w:hAnsi="宋体" w:cs="宋体"/>
                <w:sz w:val="21"/>
                <w:szCs w:val="21"/>
              </w:rPr>
              <w:t>如果评审为差，要求专家书面说明理由，并记录在档。</w:t>
            </w:r>
          </w:p>
          <w:p w14:paraId="2EC0A4CF">
            <w:pPr>
              <w:pStyle w:val="2"/>
              <w:autoSpaceDE/>
              <w:autoSpaceDN/>
              <w:adjustRightInd/>
              <w:textAlignment w:val="auto"/>
              <w:rPr>
                <w:rFonts w:hint="eastAsia" w:hAnsi="宋体" w:cs="宋体"/>
                <w:b/>
                <w:bCs/>
                <w:sz w:val="21"/>
                <w:szCs w:val="21"/>
              </w:rPr>
            </w:pPr>
            <w:r>
              <w:rPr>
                <w:rFonts w:hint="eastAsia" w:hAnsi="宋体" w:cs="宋体"/>
                <w:b/>
                <w:bCs/>
                <w:sz w:val="21"/>
                <w:szCs w:val="21"/>
              </w:rPr>
              <w:t>（二）评分依据：</w:t>
            </w:r>
          </w:p>
          <w:p w14:paraId="4EFC1B6B">
            <w:pPr>
              <w:pStyle w:val="2"/>
              <w:autoSpaceDE/>
              <w:autoSpaceDN/>
              <w:adjustRightInd/>
              <w:textAlignment w:val="auto"/>
              <w:rPr>
                <w:rFonts w:hint="eastAsia" w:hAnsi="宋体" w:cs="宋体"/>
                <w:sz w:val="21"/>
                <w:szCs w:val="21"/>
              </w:rPr>
            </w:pPr>
            <w:r>
              <w:rPr>
                <w:rFonts w:hint="eastAsia" w:hAnsi="宋体" w:cs="宋体"/>
                <w:sz w:val="21"/>
                <w:szCs w:val="21"/>
              </w:rPr>
              <w:t>1、同时提供承诺函（以投标文件中单独提供的承诺函为准）及地图时间路线查询截图</w:t>
            </w:r>
            <w:r>
              <w:rPr>
                <w:rFonts w:hint="eastAsia" w:hAnsi="宋体" w:cs="宋体"/>
                <w:sz w:val="21"/>
                <w:szCs w:val="21"/>
                <w:lang w:eastAsia="zh-CN"/>
              </w:rPr>
              <w:t>（</w:t>
            </w:r>
            <w:r>
              <w:rPr>
                <w:rFonts w:hint="eastAsia" w:hAnsi="宋体" w:cs="宋体"/>
                <w:sz w:val="21"/>
                <w:szCs w:val="21"/>
                <w:lang w:val="en-US" w:eastAsia="zh-CN"/>
              </w:rPr>
              <w:t>药品生产地址为起点</w:t>
            </w:r>
            <w:r>
              <w:rPr>
                <w:rFonts w:hint="eastAsia" w:hAnsi="宋体" w:cs="宋体"/>
                <w:sz w:val="21"/>
                <w:szCs w:val="21"/>
              </w:rPr>
              <w:t>，</w:t>
            </w:r>
            <w:r>
              <w:rPr>
                <w:rFonts w:hint="eastAsia" w:hAnsi="宋体" w:cs="宋体"/>
                <w:sz w:val="21"/>
                <w:szCs w:val="21"/>
                <w:lang w:val="en-US" w:eastAsia="zh-CN"/>
              </w:rPr>
              <w:t>中国医学科学院肿瘤医院深圳医院</w:t>
            </w:r>
            <w:r>
              <w:rPr>
                <w:rFonts w:hint="eastAsia" w:hAnsi="宋体" w:cs="宋体"/>
                <w:sz w:val="21"/>
                <w:szCs w:val="21"/>
              </w:rPr>
              <w:t>为终点</w:t>
            </w:r>
            <w:r>
              <w:rPr>
                <w:rFonts w:hint="eastAsia" w:hAnsi="宋体" w:cs="宋体"/>
                <w:sz w:val="21"/>
                <w:szCs w:val="21"/>
                <w:lang w:eastAsia="zh-CN"/>
              </w:rPr>
              <w:t>，</w:t>
            </w:r>
            <w:r>
              <w:rPr>
                <w:rFonts w:hint="eastAsia" w:hAnsi="宋体" w:cs="宋体"/>
                <w:sz w:val="21"/>
                <w:szCs w:val="21"/>
                <w:lang w:val="en-US" w:eastAsia="zh-CN"/>
              </w:rPr>
              <w:t>并附上《放射性药品生产许可证》</w:t>
            </w:r>
            <w:r>
              <w:rPr>
                <w:rFonts w:hint="eastAsia" w:hAnsi="宋体" w:cs="宋体"/>
                <w:sz w:val="21"/>
                <w:szCs w:val="21"/>
              </w:rPr>
              <w:t>）2、评分中出现无证明资料或专家无法凭所提供资料判断是否得分的情况，一律作不得分处理。</w:t>
            </w:r>
          </w:p>
        </w:tc>
      </w:tr>
      <w:tr w14:paraId="4D3E0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restart"/>
            <w:tcBorders>
              <w:top w:val="single" w:color="000000" w:sz="8" w:space="0"/>
              <w:left w:val="single" w:color="000000" w:sz="8" w:space="0"/>
              <w:bottom w:val="single" w:color="000000" w:sz="8" w:space="0"/>
              <w:right w:val="single" w:color="000000" w:sz="8" w:space="0"/>
            </w:tcBorders>
            <w:vAlign w:val="center"/>
          </w:tcPr>
          <w:p w14:paraId="7E2AEF06">
            <w:pPr>
              <w:widowControl/>
              <w:wordWrap w:val="0"/>
              <w:jc w:val="center"/>
              <w:rPr>
                <w:rFonts w:hint="eastAsia" w:ascii="宋体" w:hAnsi="宋体" w:cs="宋体"/>
                <w:b/>
                <w:bCs/>
                <w:szCs w:val="21"/>
              </w:rPr>
            </w:pPr>
            <w:r>
              <w:rPr>
                <w:rFonts w:hint="eastAsia" w:ascii="宋体" w:hAnsi="宋体" w:cs="宋体"/>
                <w:b/>
                <w:bCs/>
                <w:kern w:val="0"/>
                <w:szCs w:val="21"/>
              </w:rPr>
              <w:t>3</w:t>
            </w:r>
          </w:p>
        </w:tc>
        <w:tc>
          <w:tcPr>
            <w:tcW w:w="2313" w:type="pct"/>
            <w:gridSpan w:val="3"/>
            <w:tcBorders>
              <w:top w:val="single" w:color="000000" w:sz="8" w:space="0"/>
              <w:left w:val="single" w:color="000000" w:sz="8" w:space="0"/>
              <w:bottom w:val="single" w:color="000000" w:sz="8" w:space="0"/>
              <w:right w:val="single" w:color="000000" w:sz="8" w:space="0"/>
            </w:tcBorders>
            <w:vAlign w:val="center"/>
          </w:tcPr>
          <w:p w14:paraId="7CD510F0">
            <w:pPr>
              <w:widowControl/>
              <w:wordWrap w:val="0"/>
              <w:jc w:val="center"/>
              <w:rPr>
                <w:rFonts w:hint="eastAsia" w:ascii="宋体" w:hAnsi="宋体" w:cs="宋体"/>
                <w:b/>
                <w:bCs/>
                <w:szCs w:val="21"/>
              </w:rPr>
            </w:pPr>
            <w:r>
              <w:rPr>
                <w:rFonts w:hint="eastAsia" w:ascii="宋体" w:hAnsi="宋体" w:cs="宋体"/>
                <w:b/>
                <w:bCs/>
                <w:kern w:val="0"/>
                <w:szCs w:val="21"/>
              </w:rPr>
              <w:t>商务部分</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2656A55B">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17</w:t>
            </w:r>
          </w:p>
        </w:tc>
      </w:tr>
      <w:tr w14:paraId="50581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6766386">
            <w:pPr>
              <w:jc w:val="center"/>
              <w:rPr>
                <w:rFonts w:hint="eastAsia" w:ascii="宋体" w:hAnsi="宋体" w:cs="宋体"/>
                <w:b/>
                <w:bCs/>
                <w:szCs w:val="21"/>
              </w:rPr>
            </w:pPr>
          </w:p>
        </w:tc>
        <w:tc>
          <w:tcPr>
            <w:tcW w:w="37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500C1C6">
            <w:pPr>
              <w:widowControl/>
              <w:wordWrap w:val="0"/>
              <w:jc w:val="center"/>
              <w:rPr>
                <w:rFonts w:hint="eastAsia" w:ascii="宋体" w:hAnsi="宋体" w:cs="宋体"/>
                <w:szCs w:val="21"/>
              </w:rPr>
            </w:pPr>
            <w:r>
              <w:rPr>
                <w:rFonts w:hint="eastAsia" w:ascii="宋体" w:hAnsi="宋体" w:cs="宋体"/>
                <w:kern w:val="0"/>
                <w:szCs w:val="21"/>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ACEED61">
            <w:pPr>
              <w:widowControl/>
              <w:wordWrap w:val="0"/>
              <w:jc w:val="center"/>
              <w:rPr>
                <w:rFonts w:hint="eastAsia" w:ascii="宋体" w:hAnsi="宋体" w:cs="宋体"/>
                <w:szCs w:val="21"/>
              </w:rPr>
            </w:pPr>
            <w:r>
              <w:rPr>
                <w:rFonts w:hint="eastAsia" w:ascii="宋体" w:hAnsi="宋体" w:cs="宋体"/>
                <w:kern w:val="0"/>
                <w:szCs w:val="21"/>
              </w:rPr>
              <w:t>评分因素</w:t>
            </w:r>
          </w:p>
        </w:tc>
        <w:tc>
          <w:tcPr>
            <w:tcW w:w="37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9E59BEF">
            <w:pPr>
              <w:widowControl/>
              <w:wordWrap w:val="0"/>
              <w:jc w:val="center"/>
              <w:rPr>
                <w:rFonts w:hint="eastAsia" w:ascii="宋体" w:hAnsi="宋体" w:cs="宋体"/>
                <w:szCs w:val="21"/>
              </w:rPr>
            </w:pPr>
            <w:r>
              <w:rPr>
                <w:rFonts w:hint="eastAsia" w:ascii="宋体" w:hAnsi="宋体" w:cs="宋体"/>
                <w:kern w:val="0"/>
                <w:szCs w:val="21"/>
              </w:rPr>
              <w:t>权重(%)</w:t>
            </w:r>
          </w:p>
        </w:tc>
        <w:tc>
          <w:tcPr>
            <w:tcW w:w="2320" w:type="pct"/>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1E1D1A36">
            <w:pPr>
              <w:widowControl/>
              <w:wordWrap w:val="0"/>
              <w:jc w:val="center"/>
              <w:rPr>
                <w:rFonts w:hint="eastAsia" w:ascii="宋体" w:hAnsi="宋体" w:cs="宋体"/>
                <w:szCs w:val="21"/>
              </w:rPr>
            </w:pPr>
            <w:r>
              <w:rPr>
                <w:rFonts w:hint="eastAsia" w:ascii="宋体" w:hAnsi="宋体" w:cs="宋体"/>
                <w:kern w:val="0"/>
                <w:szCs w:val="21"/>
              </w:rPr>
              <w:t>评分准则</w:t>
            </w:r>
          </w:p>
        </w:tc>
      </w:tr>
      <w:tr w14:paraId="7EDA2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top w:val="single" w:color="000000" w:sz="8" w:space="0"/>
              <w:left w:val="single" w:color="000000" w:sz="8" w:space="0"/>
              <w:bottom w:val="single" w:color="000000" w:sz="8" w:space="0"/>
              <w:right w:val="single" w:color="000000" w:sz="8" w:space="0"/>
            </w:tcBorders>
            <w:vAlign w:val="center"/>
          </w:tcPr>
          <w:p w14:paraId="36BED3F0">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vAlign w:val="center"/>
          </w:tcPr>
          <w:p w14:paraId="05BDC788">
            <w:pPr>
              <w:widowControl/>
              <w:wordWrap w:val="0"/>
              <w:jc w:val="center"/>
              <w:textAlignment w:val="top"/>
              <w:rPr>
                <w:rFonts w:hint="eastAsia" w:ascii="宋体" w:hAnsi="宋体" w:eastAsia="宋体" w:cs="宋体"/>
                <w:szCs w:val="21"/>
                <w:lang w:val="en-US" w:eastAsia="zh-CN"/>
              </w:rPr>
            </w:pPr>
            <w:r>
              <w:rPr>
                <w:rFonts w:hint="eastAsia" w:ascii="宋体" w:hAnsi="宋体" w:cs="宋体"/>
                <w:szCs w:val="21"/>
                <w:lang w:val="en-US" w:eastAsia="zh-CN"/>
              </w:rPr>
              <w:t>1</w:t>
            </w:r>
          </w:p>
        </w:tc>
        <w:tc>
          <w:tcPr>
            <w:tcW w:w="1562" w:type="pct"/>
            <w:tcBorders>
              <w:top w:val="single" w:color="000000" w:sz="8" w:space="0"/>
              <w:left w:val="single" w:color="000000" w:sz="8" w:space="0"/>
              <w:bottom w:val="single" w:color="000000" w:sz="8" w:space="0"/>
              <w:right w:val="single" w:color="000000" w:sz="8" w:space="0"/>
            </w:tcBorders>
            <w:vAlign w:val="center"/>
          </w:tcPr>
          <w:p w14:paraId="6068E9FA">
            <w:pPr>
              <w:wordWrap w:val="0"/>
              <w:jc w:val="center"/>
              <w:rPr>
                <w:rFonts w:hint="eastAsia" w:ascii="宋体" w:hAnsi="宋体" w:cs="宋体"/>
                <w:szCs w:val="21"/>
              </w:rPr>
            </w:pPr>
            <w:r>
              <w:rPr>
                <w:rFonts w:hint="eastAsia" w:ascii="宋体" w:hAnsi="宋体" w:eastAsia="宋体" w:cs="宋体"/>
                <w:szCs w:val="21"/>
              </w:rPr>
              <w:t>商务条款偏离情况</w:t>
            </w:r>
            <w:r>
              <w:rPr>
                <w:rFonts w:hint="eastAsia" w:ascii="宋体" w:hAnsi="宋体" w:cs="宋体"/>
                <w:color w:val="auto"/>
                <w:sz w:val="24"/>
                <w:highlight w:val="none"/>
                <w:lang w:eastAsia="zh-CN"/>
              </w:rPr>
              <w:t>（涉及条款：“（三）服务要求</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中</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第</w:t>
            </w:r>
            <w:r>
              <w:rPr>
                <w:rFonts w:hint="eastAsia" w:ascii="宋体" w:hAnsi="宋体" w:cs="宋体"/>
                <w:color w:val="auto"/>
                <w:sz w:val="24"/>
                <w:highlight w:val="none"/>
                <w:lang w:val="en-US" w:eastAsia="zh-CN"/>
              </w:rPr>
              <w:t>2-10项</w:t>
            </w:r>
            <w:r>
              <w:rPr>
                <w:rFonts w:hint="eastAsia" w:ascii="宋体" w:hAnsi="宋体" w:cs="宋体"/>
                <w:color w:val="auto"/>
                <w:sz w:val="24"/>
                <w:highlight w:val="none"/>
                <w:lang w:eastAsia="zh-CN"/>
              </w:rPr>
              <w:t>”）</w:t>
            </w:r>
          </w:p>
        </w:tc>
        <w:tc>
          <w:tcPr>
            <w:tcW w:w="379" w:type="pct"/>
            <w:tcBorders>
              <w:top w:val="single" w:color="000000" w:sz="8" w:space="0"/>
              <w:left w:val="single" w:color="000000" w:sz="8" w:space="0"/>
              <w:bottom w:val="single" w:color="000000" w:sz="8" w:space="0"/>
              <w:right w:val="single" w:color="000000" w:sz="8" w:space="0"/>
            </w:tcBorders>
            <w:vAlign w:val="center"/>
          </w:tcPr>
          <w:p w14:paraId="738986F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1F734E83">
            <w:pPr>
              <w:keepNext w:val="0"/>
              <w:keepLines w:val="0"/>
              <w:widowControl/>
              <w:suppressLineNumbers w:val="0"/>
              <w:spacing w:before="0" w:beforeAutospacing="0" w:after="0" w:afterAutospacing="0" w:line="240" w:lineRule="auto"/>
              <w:ind w:left="0" w:right="0"/>
              <w:jc w:val="left"/>
              <w:rPr>
                <w:rFonts w:hint="eastAsia" w:hAnsi="宋体" w:cs="宋体"/>
                <w:kern w:val="2"/>
                <w:sz w:val="21"/>
                <w:szCs w:val="21"/>
              </w:rPr>
            </w:pPr>
            <w:r>
              <w:rPr>
                <w:rFonts w:hint="eastAsia" w:ascii="宋体" w:hAnsi="宋体" w:eastAsia="宋体" w:cs="宋体"/>
                <w:szCs w:val="21"/>
              </w:rPr>
              <w:t>投标人应如实填写《商务条款偏离表》，评审委员会根据响应情况进行打分，</w:t>
            </w:r>
            <w:r>
              <w:rPr>
                <w:rFonts w:hint="eastAsia" w:ascii="宋体" w:hAnsi="宋体" w:eastAsia="宋体" w:cs="宋体"/>
                <w:b w:val="0"/>
                <w:bCs/>
                <w:szCs w:val="21"/>
              </w:rPr>
              <w:t>各项要求全部满足的得满分，带▲的参数为重要条款，每项负偏离扣</w:t>
            </w:r>
            <w:r>
              <w:rPr>
                <w:rFonts w:hint="eastAsia" w:ascii="宋体" w:hAnsi="宋体" w:cs="宋体"/>
                <w:b w:val="0"/>
                <w:bCs/>
                <w:szCs w:val="21"/>
                <w:lang w:val="en-US" w:eastAsia="zh-CN"/>
              </w:rPr>
              <w:t>1</w:t>
            </w:r>
            <w:r>
              <w:rPr>
                <w:rFonts w:hint="eastAsia" w:ascii="宋体" w:hAnsi="宋体" w:eastAsia="宋体" w:cs="宋体"/>
                <w:b w:val="0"/>
                <w:bCs/>
                <w:szCs w:val="21"/>
              </w:rPr>
              <w:t>分，其余参数每项负偏离扣</w:t>
            </w:r>
            <w:r>
              <w:rPr>
                <w:rFonts w:hint="eastAsia" w:ascii="宋体" w:hAnsi="宋体" w:eastAsia="宋体" w:cs="宋体"/>
                <w:b w:val="0"/>
                <w:bCs/>
                <w:szCs w:val="21"/>
                <w:lang w:val="en-US" w:eastAsia="zh-CN"/>
              </w:rPr>
              <w:t>0.1</w:t>
            </w:r>
            <w:r>
              <w:rPr>
                <w:rFonts w:hint="eastAsia" w:ascii="宋体" w:hAnsi="宋体" w:eastAsia="宋体" w:cs="宋体"/>
                <w:b w:val="0"/>
                <w:bCs/>
                <w:szCs w:val="21"/>
              </w:rPr>
              <w:t>分</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共</w:t>
            </w:r>
            <w:r>
              <w:rPr>
                <w:rFonts w:hint="eastAsia" w:ascii="宋体" w:hAnsi="宋体" w:cs="宋体"/>
                <w:b w:val="0"/>
                <w:bCs/>
                <w:szCs w:val="21"/>
                <w:lang w:val="en-US" w:eastAsia="zh-CN"/>
              </w:rPr>
              <w:t>1</w:t>
            </w:r>
            <w:r>
              <w:rPr>
                <w:rFonts w:hint="eastAsia" w:ascii="宋体" w:hAnsi="宋体" w:eastAsia="宋体" w:cs="宋体"/>
                <w:b w:val="0"/>
                <w:bCs/>
                <w:szCs w:val="21"/>
                <w:lang w:val="en-US" w:eastAsia="zh-CN"/>
              </w:rPr>
              <w:t>分）</w:t>
            </w:r>
            <w:r>
              <w:rPr>
                <w:rFonts w:hint="eastAsia" w:ascii="宋体" w:hAnsi="宋体" w:eastAsia="宋体" w:cs="宋体"/>
                <w:b w:val="0"/>
                <w:bCs/>
                <w:szCs w:val="21"/>
              </w:rPr>
              <w:t>，扣完为止。</w:t>
            </w:r>
          </w:p>
        </w:tc>
      </w:tr>
      <w:tr w14:paraId="32F915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365" w:type="pct"/>
            <w:gridSpan w:val="2"/>
            <w:vMerge w:val="continue"/>
            <w:tcBorders>
              <w:top w:val="single" w:color="000000" w:sz="8" w:space="0"/>
              <w:left w:val="single" w:color="000000" w:sz="8" w:space="0"/>
              <w:bottom w:val="single" w:color="000000" w:sz="8" w:space="0"/>
              <w:right w:val="single" w:color="000000" w:sz="8" w:space="0"/>
            </w:tcBorders>
            <w:vAlign w:val="center"/>
          </w:tcPr>
          <w:p w14:paraId="4B96C0F6">
            <w:pPr>
              <w:jc w:val="center"/>
              <w:rPr>
                <w:rFonts w:hint="eastAsia" w:ascii="宋体" w:hAnsi="宋体" w:cs="宋体"/>
                <w:b/>
                <w:bCs/>
                <w:szCs w:val="21"/>
              </w:rPr>
            </w:pPr>
          </w:p>
        </w:tc>
        <w:tc>
          <w:tcPr>
            <w:tcW w:w="371" w:type="pct"/>
            <w:tcBorders>
              <w:top w:val="single" w:color="000000" w:sz="8" w:space="0"/>
              <w:left w:val="single" w:color="000000" w:sz="8" w:space="0"/>
              <w:bottom w:val="single" w:color="000000" w:sz="8" w:space="0"/>
              <w:right w:val="single" w:color="000000" w:sz="8" w:space="0"/>
            </w:tcBorders>
          </w:tcPr>
          <w:p w14:paraId="699CFCF4">
            <w:pPr>
              <w:widowControl/>
              <w:wordWrap w:val="0"/>
              <w:jc w:val="center"/>
              <w:textAlignment w:val="top"/>
              <w:rPr>
                <w:rFonts w:hint="eastAsia" w:ascii="宋体" w:hAnsi="宋体" w:cs="宋体"/>
                <w:szCs w:val="21"/>
              </w:rPr>
            </w:pPr>
          </w:p>
          <w:p w14:paraId="39009EE7">
            <w:pPr>
              <w:widowControl/>
              <w:wordWrap w:val="0"/>
              <w:jc w:val="center"/>
              <w:textAlignment w:val="top"/>
              <w:rPr>
                <w:rFonts w:hint="eastAsia" w:ascii="宋体" w:hAnsi="宋体" w:cs="宋体"/>
                <w:szCs w:val="21"/>
              </w:rPr>
            </w:pPr>
          </w:p>
          <w:p w14:paraId="7256CA96">
            <w:pPr>
              <w:widowControl/>
              <w:wordWrap w:val="0"/>
              <w:jc w:val="center"/>
              <w:textAlignment w:val="top"/>
              <w:rPr>
                <w:rFonts w:hint="eastAsia" w:ascii="宋体" w:hAnsi="宋体" w:cs="宋体"/>
                <w:szCs w:val="21"/>
              </w:rPr>
            </w:pPr>
          </w:p>
          <w:p w14:paraId="57C4BDF6">
            <w:pPr>
              <w:widowControl/>
              <w:wordWrap w:val="0"/>
              <w:jc w:val="center"/>
              <w:textAlignment w:val="top"/>
              <w:rPr>
                <w:rFonts w:hint="eastAsia" w:ascii="宋体" w:hAnsi="宋体" w:cs="宋体"/>
                <w:szCs w:val="21"/>
              </w:rPr>
            </w:pPr>
          </w:p>
          <w:p w14:paraId="2F2070F8">
            <w:pPr>
              <w:widowControl/>
              <w:wordWrap w:val="0"/>
              <w:jc w:val="center"/>
              <w:textAlignment w:val="top"/>
              <w:rPr>
                <w:rFonts w:hint="eastAsia" w:ascii="宋体" w:hAnsi="宋体" w:cs="宋体"/>
                <w:szCs w:val="21"/>
              </w:rPr>
            </w:pPr>
          </w:p>
          <w:p w14:paraId="4D7A1A55">
            <w:pPr>
              <w:widowControl/>
              <w:wordWrap w:val="0"/>
              <w:jc w:val="center"/>
              <w:textAlignment w:val="top"/>
              <w:rPr>
                <w:rFonts w:hint="eastAsia" w:ascii="宋体" w:hAnsi="宋体" w:cs="宋体"/>
                <w:szCs w:val="21"/>
              </w:rPr>
            </w:pPr>
          </w:p>
          <w:p w14:paraId="658A56B5">
            <w:pPr>
              <w:widowControl/>
              <w:wordWrap w:val="0"/>
              <w:jc w:val="center"/>
              <w:textAlignment w:val="top"/>
              <w:rPr>
                <w:rFonts w:hint="eastAsia" w:ascii="宋体" w:hAnsi="宋体" w:cs="宋体"/>
                <w:szCs w:val="21"/>
              </w:rPr>
            </w:pPr>
          </w:p>
          <w:p w14:paraId="4A946148">
            <w:pPr>
              <w:widowControl/>
              <w:wordWrap w:val="0"/>
              <w:jc w:val="center"/>
              <w:textAlignment w:val="top"/>
              <w:rPr>
                <w:rFonts w:hint="eastAsia" w:ascii="宋体" w:hAnsi="宋体" w:cs="宋体"/>
                <w:szCs w:val="21"/>
              </w:rPr>
            </w:pPr>
          </w:p>
          <w:p w14:paraId="391360A3">
            <w:pPr>
              <w:widowControl/>
              <w:wordWrap w:val="0"/>
              <w:jc w:val="center"/>
              <w:textAlignment w:val="top"/>
              <w:rPr>
                <w:rFonts w:hint="eastAsia" w:ascii="宋体" w:hAnsi="宋体" w:cs="宋体"/>
                <w:szCs w:val="21"/>
              </w:rPr>
            </w:pPr>
          </w:p>
          <w:p w14:paraId="76CFC8D6">
            <w:pPr>
              <w:widowControl/>
              <w:wordWrap w:val="0"/>
              <w:jc w:val="center"/>
              <w:textAlignment w:val="top"/>
              <w:rPr>
                <w:rFonts w:hint="eastAsia" w:ascii="宋体" w:hAnsi="宋体" w:cs="宋体"/>
                <w:szCs w:val="21"/>
              </w:rPr>
            </w:pPr>
            <w:r>
              <w:rPr>
                <w:rFonts w:hint="eastAsia" w:ascii="宋体" w:hAnsi="宋体" w:cs="宋体"/>
                <w:szCs w:val="21"/>
              </w:rPr>
              <w:t>2</w:t>
            </w:r>
          </w:p>
        </w:tc>
        <w:tc>
          <w:tcPr>
            <w:tcW w:w="1562" w:type="pct"/>
            <w:tcBorders>
              <w:top w:val="single" w:color="000000" w:sz="8" w:space="0"/>
              <w:left w:val="single" w:color="000000" w:sz="8" w:space="0"/>
              <w:bottom w:val="single" w:color="000000" w:sz="8" w:space="0"/>
              <w:right w:val="single" w:color="000000" w:sz="8" w:space="0"/>
            </w:tcBorders>
            <w:vAlign w:val="center"/>
          </w:tcPr>
          <w:p w14:paraId="56C18DD9">
            <w:pPr>
              <w:autoSpaceDE w:val="0"/>
              <w:autoSpaceDN w:val="0"/>
              <w:adjustRightInd w:val="0"/>
              <w:snapToGrid w:val="0"/>
              <w:jc w:val="center"/>
              <w:rPr>
                <w:rFonts w:hint="eastAsia" w:ascii="宋体" w:hAnsi="宋体" w:cs="宋体"/>
                <w:szCs w:val="21"/>
              </w:rPr>
            </w:pPr>
            <w:r>
              <w:rPr>
                <w:rFonts w:hint="eastAsia" w:ascii="宋体" w:hAnsi="宋体" w:cs="宋体"/>
                <w:szCs w:val="21"/>
              </w:rPr>
              <w:t>同类项目业绩</w:t>
            </w:r>
          </w:p>
        </w:tc>
        <w:tc>
          <w:tcPr>
            <w:tcW w:w="379" w:type="pct"/>
            <w:tcBorders>
              <w:top w:val="single" w:color="000000" w:sz="8" w:space="0"/>
              <w:left w:val="single" w:color="000000" w:sz="8" w:space="0"/>
              <w:bottom w:val="single" w:color="000000" w:sz="8" w:space="0"/>
              <w:right w:val="single" w:color="000000" w:sz="8" w:space="0"/>
            </w:tcBorders>
            <w:vAlign w:val="center"/>
          </w:tcPr>
          <w:p w14:paraId="4ADAC2FF">
            <w:pPr>
              <w:autoSpaceDE w:val="0"/>
              <w:autoSpaceDN w:val="0"/>
              <w:adjustRightInd w:val="0"/>
              <w:snapToGrid w:val="0"/>
              <w:jc w:val="center"/>
              <w:rPr>
                <w:rFonts w:hint="eastAsia" w:ascii="宋体" w:hAnsi="宋体" w:cs="宋体"/>
                <w:szCs w:val="21"/>
              </w:rPr>
            </w:pPr>
          </w:p>
          <w:p w14:paraId="668F58FB">
            <w:pPr>
              <w:autoSpaceDE w:val="0"/>
              <w:autoSpaceDN w:val="0"/>
              <w:adjustRightInd w:val="0"/>
              <w:snapToGrid w:val="0"/>
              <w:jc w:val="center"/>
              <w:rPr>
                <w:rFonts w:hint="eastAsia" w:ascii="宋体" w:hAnsi="宋体" w:cs="宋体"/>
                <w:szCs w:val="21"/>
              </w:rPr>
            </w:pPr>
            <w:r>
              <w:rPr>
                <w:rFonts w:hint="eastAsia" w:ascii="宋体" w:hAnsi="宋体" w:cs="宋体"/>
                <w:szCs w:val="21"/>
              </w:rPr>
              <w:t>15</w:t>
            </w:r>
          </w:p>
        </w:tc>
        <w:tc>
          <w:tcPr>
            <w:tcW w:w="2320" w:type="pct"/>
            <w:gridSpan w:val="3"/>
            <w:tcBorders>
              <w:top w:val="single" w:color="000000" w:sz="8" w:space="0"/>
              <w:left w:val="single" w:color="000000" w:sz="8" w:space="0"/>
              <w:bottom w:val="single" w:color="000000" w:sz="8" w:space="0"/>
              <w:right w:val="single" w:color="000000" w:sz="8" w:space="0"/>
            </w:tcBorders>
            <w:vAlign w:val="center"/>
          </w:tcPr>
          <w:p w14:paraId="01FFF340">
            <w:pPr>
              <w:wordWrap w:val="0"/>
              <w:jc w:val="left"/>
              <w:rPr>
                <w:rFonts w:hint="eastAsia" w:ascii="宋体" w:hAnsi="宋体" w:cs="宋体"/>
                <w:b/>
                <w:szCs w:val="21"/>
              </w:rPr>
            </w:pPr>
            <w:r>
              <w:rPr>
                <w:rFonts w:hint="eastAsia" w:ascii="宋体" w:hAnsi="宋体" w:cs="宋体"/>
                <w:b/>
                <w:szCs w:val="21"/>
              </w:rPr>
              <w:t>（一）评分内容</w:t>
            </w:r>
          </w:p>
          <w:p w14:paraId="73829E5A">
            <w:pPr>
              <w:wordWrap w:val="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提供202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月1日至本项目投标截止日（以合同签订日期为准），每提供一项同类放射性药品</w:t>
            </w:r>
            <w:r>
              <w:rPr>
                <w:rFonts w:hint="eastAsia" w:ascii="宋体" w:hAnsi="宋体" w:cs="宋体"/>
                <w:szCs w:val="21"/>
                <w:lang w:val="en-US" w:eastAsia="zh-CN"/>
              </w:rPr>
              <w:t>销售</w:t>
            </w:r>
            <w:r>
              <w:rPr>
                <w:rFonts w:hint="eastAsia" w:ascii="宋体" w:hAnsi="宋体" w:cs="宋体"/>
                <w:szCs w:val="21"/>
              </w:rPr>
              <w:t>（</w:t>
            </w:r>
            <w:r>
              <w:t>氟[</w:t>
            </w:r>
            <w:r>
              <w:rPr>
                <w:rFonts w:hint="eastAsia"/>
              </w:rPr>
              <w:t>18F</w:t>
            </w:r>
            <w:r>
              <w:t>]脱氧葡糖注射液</w:t>
            </w:r>
            <w:r>
              <w:rPr>
                <w:rFonts w:hint="eastAsia" w:ascii="宋体" w:hAnsi="宋体" w:cs="宋体"/>
                <w:szCs w:val="21"/>
              </w:rPr>
              <w:t>）供货业绩得20分，最高得</w:t>
            </w:r>
            <w:r>
              <w:rPr>
                <w:rFonts w:hint="eastAsia" w:ascii="宋体" w:hAnsi="宋体" w:cs="宋体"/>
                <w:szCs w:val="21"/>
                <w:lang w:val="en-US" w:eastAsia="zh-CN"/>
              </w:rPr>
              <w:t>60</w:t>
            </w:r>
            <w:r>
              <w:rPr>
                <w:rFonts w:hint="eastAsia" w:ascii="宋体" w:hAnsi="宋体" w:cs="宋体"/>
                <w:szCs w:val="21"/>
              </w:rPr>
              <w:t>分。</w:t>
            </w:r>
          </w:p>
          <w:p w14:paraId="2E3463BB">
            <w:pPr>
              <w:wordWrap w:val="0"/>
              <w:jc w:val="left"/>
              <w:rPr>
                <w:rFonts w:hint="eastAsia" w:eastAsia="宋体"/>
                <w:lang w:val="en-US" w:eastAsia="zh-CN"/>
              </w:rPr>
            </w:pPr>
            <w:r>
              <w:rPr>
                <w:rFonts w:hint="eastAsia" w:ascii="宋体" w:hAnsi="宋体" w:cs="宋体"/>
                <w:szCs w:val="21"/>
                <w:lang w:val="en-US" w:eastAsia="zh-CN"/>
              </w:rPr>
              <w:t>2：</w:t>
            </w:r>
            <w:r>
              <w:rPr>
                <w:rFonts w:hint="eastAsia" w:ascii="宋体" w:hAnsi="宋体" w:cs="宋体"/>
                <w:szCs w:val="21"/>
              </w:rPr>
              <w:t>提供202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月1日至本项目投标截止日（以合同签订日期为准），每提供一项</w:t>
            </w:r>
            <w:r>
              <w:rPr>
                <w:rFonts w:hint="eastAsia" w:ascii="宋体" w:hAnsi="宋体" w:cs="宋体"/>
                <w:szCs w:val="21"/>
                <w:lang w:val="en-US" w:eastAsia="zh-CN"/>
              </w:rPr>
              <w:t>正电子药物生产委托服务</w:t>
            </w:r>
            <w:r>
              <w:rPr>
                <w:rFonts w:hint="eastAsia" w:ascii="宋体" w:hAnsi="宋体" w:cs="宋体"/>
                <w:szCs w:val="21"/>
              </w:rPr>
              <w:t>业绩得20分，最高得</w:t>
            </w:r>
            <w:r>
              <w:rPr>
                <w:rFonts w:hint="eastAsia" w:ascii="宋体" w:hAnsi="宋体" w:cs="宋体"/>
                <w:szCs w:val="21"/>
                <w:lang w:val="en-US" w:eastAsia="zh-CN"/>
              </w:rPr>
              <w:t>40</w:t>
            </w:r>
            <w:r>
              <w:rPr>
                <w:rFonts w:hint="eastAsia" w:ascii="宋体" w:hAnsi="宋体" w:cs="宋体"/>
                <w:szCs w:val="21"/>
              </w:rPr>
              <w:t>分。</w:t>
            </w:r>
          </w:p>
          <w:p w14:paraId="21D659D1">
            <w:pPr>
              <w:wordWrap w:val="0"/>
              <w:jc w:val="left"/>
              <w:rPr>
                <w:rFonts w:hint="eastAsia" w:ascii="宋体" w:hAnsi="宋体" w:cs="宋体"/>
                <w:b/>
                <w:bCs/>
                <w:szCs w:val="21"/>
              </w:rPr>
            </w:pPr>
            <w:r>
              <w:rPr>
                <w:rFonts w:hint="eastAsia" w:ascii="宋体" w:hAnsi="宋体" w:cs="宋体"/>
                <w:b/>
                <w:bCs/>
                <w:szCs w:val="21"/>
              </w:rPr>
              <w:t>（二）评分依据：</w:t>
            </w:r>
          </w:p>
          <w:p w14:paraId="4EDC2C7F">
            <w:pPr>
              <w:wordWrap w:val="0"/>
              <w:jc w:val="left"/>
              <w:rPr>
                <w:rFonts w:hint="eastAsia" w:ascii="宋体" w:hAnsi="宋体" w:cs="宋体"/>
                <w:szCs w:val="21"/>
              </w:rPr>
            </w:pPr>
            <w:r>
              <w:rPr>
                <w:rFonts w:hint="eastAsia" w:ascii="宋体" w:hAnsi="宋体" w:cs="宋体"/>
                <w:szCs w:val="21"/>
              </w:rPr>
              <w:t>1、投标人提供的每项业绩须按以下要求提供完整准确的证明文件，如未按以下要求提供完整证明文件的业绩不计分，长期续签合同只计算一个业绩：</w:t>
            </w:r>
          </w:p>
          <w:p w14:paraId="1E73B714">
            <w:pPr>
              <w:wordWrap w:val="0"/>
              <w:jc w:val="left"/>
              <w:rPr>
                <w:rFonts w:hint="eastAsia" w:ascii="宋体" w:hAnsi="宋体" w:cs="宋体"/>
                <w:szCs w:val="21"/>
              </w:rPr>
            </w:pPr>
            <w:r>
              <w:rPr>
                <w:rFonts w:hint="eastAsia" w:ascii="宋体" w:hAnsi="宋体" w:cs="宋体"/>
                <w:szCs w:val="21"/>
              </w:rPr>
              <w:t>①提供合同关键页（应包含但不限于合同签约主体名称、采购内容、签订合同时间、签约主体公章等关键信息），</w:t>
            </w:r>
          </w:p>
          <w:p w14:paraId="2F68B01E">
            <w:pPr>
              <w:wordWrap w:val="0"/>
              <w:jc w:val="left"/>
              <w:rPr>
                <w:rFonts w:hint="eastAsia" w:ascii="宋体" w:hAnsi="宋体" w:cs="宋体"/>
                <w:szCs w:val="21"/>
              </w:rPr>
            </w:pPr>
            <w:r>
              <w:rPr>
                <w:rFonts w:hint="eastAsia" w:ascii="宋体" w:hAnsi="宋体" w:cs="宋体"/>
                <w:szCs w:val="21"/>
              </w:rPr>
              <w:t>②</w:t>
            </w:r>
            <w:r>
              <w:t>并附相应的销货清单或送货清单复印件</w:t>
            </w:r>
            <w:r>
              <w:rPr>
                <w:rFonts w:hint="eastAsia"/>
              </w:rPr>
              <w:t>（</w:t>
            </w:r>
            <w:r>
              <w:t>并清晰显示采购标的内容</w:t>
            </w:r>
            <w:r>
              <w:rPr>
                <w:rFonts w:hint="eastAsia"/>
              </w:rPr>
              <w:t>）</w:t>
            </w:r>
            <w:r>
              <w:rPr>
                <w:rFonts w:hint="eastAsia"/>
                <w:lang w:eastAsia="zh-CN"/>
              </w:rPr>
              <w:t>（</w:t>
            </w:r>
            <w:r>
              <w:rPr>
                <w:rFonts w:hint="eastAsia"/>
                <w:lang w:val="en-US" w:eastAsia="zh-CN"/>
              </w:rPr>
              <w:t>生产</w:t>
            </w:r>
            <w:r>
              <w:rPr>
                <w:rFonts w:hint="eastAsia" w:ascii="宋体" w:hAnsi="宋体" w:cs="宋体"/>
                <w:szCs w:val="21"/>
                <w:lang w:val="en-US" w:eastAsia="zh-CN"/>
              </w:rPr>
              <w:t>委托服务</w:t>
            </w:r>
            <w:r>
              <w:rPr>
                <w:rFonts w:hint="eastAsia" w:ascii="宋体" w:hAnsi="宋体" w:cs="宋体"/>
                <w:szCs w:val="21"/>
              </w:rPr>
              <w:t>业绩</w:t>
            </w:r>
            <w:r>
              <w:rPr>
                <w:rFonts w:hint="eastAsia" w:ascii="宋体" w:hAnsi="宋体" w:cs="宋体"/>
                <w:szCs w:val="21"/>
                <w:lang w:val="en-US" w:eastAsia="zh-CN"/>
              </w:rPr>
              <w:t>可不提供）</w:t>
            </w:r>
            <w:r>
              <w:rPr>
                <w:rFonts w:hint="eastAsia"/>
              </w:rPr>
              <w:t>；</w:t>
            </w:r>
          </w:p>
          <w:p w14:paraId="5A44263C">
            <w:pPr>
              <w:wordWrap w:val="0"/>
              <w:jc w:val="left"/>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提供合同对应的发票复印件；</w:t>
            </w:r>
            <w:r>
              <w:rPr>
                <w:rFonts w:hint="eastAsia"/>
                <w:lang w:eastAsia="zh-CN"/>
              </w:rPr>
              <w:t>（</w:t>
            </w:r>
            <w:r>
              <w:rPr>
                <w:rFonts w:hint="eastAsia"/>
                <w:lang w:val="en-US" w:eastAsia="zh-CN"/>
              </w:rPr>
              <w:t>生产</w:t>
            </w:r>
            <w:r>
              <w:rPr>
                <w:rFonts w:hint="eastAsia" w:ascii="宋体" w:hAnsi="宋体" w:cs="宋体"/>
                <w:szCs w:val="21"/>
                <w:lang w:val="en-US" w:eastAsia="zh-CN"/>
              </w:rPr>
              <w:t>委托服务</w:t>
            </w:r>
            <w:r>
              <w:rPr>
                <w:rFonts w:hint="eastAsia" w:ascii="宋体" w:hAnsi="宋体" w:cs="宋体"/>
                <w:szCs w:val="21"/>
              </w:rPr>
              <w:t>业绩</w:t>
            </w:r>
            <w:r>
              <w:rPr>
                <w:rFonts w:hint="eastAsia" w:ascii="宋体" w:hAnsi="宋体" w:cs="宋体"/>
                <w:szCs w:val="21"/>
                <w:lang w:val="en-US" w:eastAsia="zh-CN"/>
              </w:rPr>
              <w:t>可不提供）</w:t>
            </w:r>
          </w:p>
          <w:p w14:paraId="433F4CE5">
            <w:pPr>
              <w:wordWrap w:val="0"/>
              <w:jc w:val="left"/>
              <w:rPr>
                <w:rFonts w:hint="eastAsia" w:ascii="宋体" w:hAnsi="宋体" w:cs="宋体"/>
                <w:szCs w:val="21"/>
              </w:rPr>
            </w:pPr>
            <w:r>
              <w:rPr>
                <w:rFonts w:hint="eastAsia" w:ascii="宋体" w:hAnsi="宋体" w:cs="宋体"/>
                <w:szCs w:val="21"/>
              </w:rPr>
              <w:t>2、以上资料原件备查。评分中出现无证明资料或专家无法凭所提供资料判断是否得分的情况，一律作不得分处理。</w:t>
            </w:r>
          </w:p>
        </w:tc>
      </w:tr>
      <w:bookmarkEnd w:id="9"/>
    </w:tbl>
    <w:p w14:paraId="74076960">
      <w:pPr>
        <w:rPr>
          <w:rFonts w:hint="eastAsia" w:eastAsia="宋体"/>
          <w:lang w:eastAsia="zh-CN"/>
        </w:rPr>
      </w:pPr>
    </w:p>
    <w:p w14:paraId="31A7D770">
      <w:pPr>
        <w:rPr>
          <w:rFonts w:hint="eastAsia" w:eastAsia="宋体"/>
          <w:lang w:eastAsia="zh-CN"/>
        </w:rPr>
      </w:pPr>
    </w:p>
    <w:p w14:paraId="1310D75F">
      <w:pPr>
        <w:rPr>
          <w:rFonts w:hint="eastAsia" w:eastAsia="宋体"/>
          <w:lang w:eastAsia="zh-CN"/>
        </w:rPr>
      </w:pPr>
    </w:p>
    <w:p w14:paraId="6E946100">
      <w:pPr>
        <w:rPr>
          <w:rFonts w:hint="eastAsia" w:eastAsia="宋体"/>
          <w:lang w:eastAsia="zh-CN"/>
        </w:rPr>
      </w:pPr>
    </w:p>
    <w:p w14:paraId="488BF4A7">
      <w:pPr>
        <w:rPr>
          <w:rFonts w:hint="eastAsia" w:eastAsia="宋体"/>
          <w:lang w:eastAsia="zh-CN"/>
        </w:rPr>
      </w:pPr>
    </w:p>
    <w:p w14:paraId="12F870A3">
      <w:pPr>
        <w:rPr>
          <w:rFonts w:hint="eastAsia" w:eastAsia="宋体"/>
          <w:lang w:eastAsia="zh-CN"/>
        </w:rPr>
      </w:pPr>
    </w:p>
    <w:p w14:paraId="1A3CA119">
      <w:pPr>
        <w:rPr>
          <w:rFonts w:hint="eastAsia" w:eastAsia="宋体"/>
          <w:lang w:eastAsia="zh-CN"/>
        </w:rPr>
      </w:pPr>
    </w:p>
    <w:p w14:paraId="6B004DE4">
      <w:pPr>
        <w:rPr>
          <w:rFonts w:hint="eastAsia" w:eastAsia="宋体"/>
          <w:lang w:eastAsia="zh-CN"/>
        </w:rPr>
      </w:pPr>
    </w:p>
    <w:p w14:paraId="7FAD4F6E">
      <w:pPr>
        <w:rPr>
          <w:rFonts w:hint="eastAsia" w:eastAsia="宋体"/>
          <w:lang w:eastAsia="zh-CN"/>
        </w:rPr>
      </w:pPr>
    </w:p>
    <w:p w14:paraId="2951C0AB">
      <w:pPr>
        <w:rPr>
          <w:rFonts w:hint="eastAsia" w:eastAsia="宋体"/>
          <w:lang w:eastAsia="zh-CN"/>
        </w:rPr>
      </w:pPr>
    </w:p>
    <w:p w14:paraId="403D4FD9">
      <w:pPr>
        <w:rPr>
          <w:rFonts w:hint="eastAsia" w:eastAsia="宋体"/>
          <w:lang w:eastAsia="zh-CN"/>
        </w:rPr>
      </w:pPr>
    </w:p>
    <w:p w14:paraId="6F69FF0F">
      <w:pPr>
        <w:rPr>
          <w:rFonts w:hint="eastAsia" w:eastAsia="宋体"/>
          <w:lang w:eastAsia="zh-CN"/>
        </w:rPr>
      </w:pPr>
    </w:p>
    <w:p w14:paraId="12EFA237">
      <w:pPr>
        <w:rPr>
          <w:rFonts w:hint="eastAsia" w:eastAsia="宋体"/>
          <w:lang w:eastAsia="zh-CN"/>
        </w:rPr>
      </w:pPr>
    </w:p>
    <w:p w14:paraId="0C1407DF">
      <w:pPr>
        <w:rPr>
          <w:rFonts w:hint="eastAsia" w:eastAsia="宋体"/>
          <w:lang w:eastAsia="zh-CN"/>
        </w:rPr>
      </w:pPr>
    </w:p>
    <w:p w14:paraId="5EC9F91A">
      <w:pPr>
        <w:rPr>
          <w:rFonts w:hint="eastAsia" w:eastAsia="宋体"/>
          <w:lang w:eastAsia="zh-CN"/>
        </w:rPr>
      </w:pPr>
    </w:p>
    <w:p w14:paraId="15841812">
      <w:pPr>
        <w:rPr>
          <w:rFonts w:hint="eastAsia" w:eastAsia="宋体"/>
          <w:lang w:eastAsia="zh-CN"/>
        </w:rPr>
      </w:pPr>
    </w:p>
    <w:p w14:paraId="6F7B1170">
      <w:pPr>
        <w:rPr>
          <w:rFonts w:hint="eastAsia" w:eastAsia="宋体"/>
          <w:lang w:eastAsia="zh-CN"/>
        </w:rPr>
      </w:pPr>
    </w:p>
    <w:p w14:paraId="0CC2C25A">
      <w:pPr>
        <w:rPr>
          <w:rFonts w:hint="eastAsia" w:eastAsia="宋体"/>
          <w:lang w:eastAsia="zh-CN"/>
        </w:rPr>
      </w:pPr>
    </w:p>
    <w:p w14:paraId="4C85F145">
      <w:pPr>
        <w:rPr>
          <w:rFonts w:hint="eastAsia" w:eastAsia="宋体"/>
          <w:lang w:eastAsia="zh-CN"/>
        </w:rPr>
      </w:pPr>
    </w:p>
    <w:p w14:paraId="55B823DD">
      <w:pPr>
        <w:rPr>
          <w:rFonts w:hint="eastAsia" w:eastAsia="宋体"/>
          <w:lang w:eastAsia="zh-CN"/>
        </w:rPr>
      </w:pPr>
    </w:p>
    <w:p w14:paraId="6DCED332">
      <w:pPr>
        <w:rPr>
          <w:rFonts w:hint="eastAsia" w:eastAsia="宋体"/>
          <w:lang w:eastAsia="zh-CN"/>
        </w:rPr>
      </w:pPr>
    </w:p>
    <w:p w14:paraId="6455A353">
      <w:pPr>
        <w:rPr>
          <w:rFonts w:hint="eastAsia" w:eastAsia="宋体"/>
          <w:lang w:eastAsia="zh-CN"/>
        </w:rPr>
      </w:pPr>
    </w:p>
    <w:p w14:paraId="1E785530">
      <w:pPr>
        <w:rPr>
          <w:rFonts w:hint="eastAsia" w:eastAsia="宋体"/>
          <w:lang w:eastAsia="zh-CN"/>
        </w:rPr>
      </w:pPr>
    </w:p>
    <w:p w14:paraId="675719A6">
      <w:pPr>
        <w:rPr>
          <w:rFonts w:hint="eastAsia" w:eastAsia="宋体"/>
          <w:lang w:eastAsia="zh-CN"/>
        </w:rPr>
      </w:pPr>
    </w:p>
    <w:p w14:paraId="6777490A">
      <w:pPr>
        <w:rPr>
          <w:rFonts w:hint="eastAsia" w:eastAsia="宋体"/>
          <w:lang w:eastAsia="zh-CN"/>
        </w:rPr>
      </w:pPr>
    </w:p>
    <w:p w14:paraId="3BCB07E1">
      <w:pPr>
        <w:rPr>
          <w:rFonts w:hint="eastAsia" w:eastAsia="宋体"/>
          <w:lang w:eastAsia="zh-CN"/>
        </w:rPr>
      </w:pPr>
    </w:p>
    <w:p w14:paraId="4CA203C8">
      <w:pPr>
        <w:rPr>
          <w:rFonts w:hint="eastAsia" w:eastAsia="宋体"/>
          <w:lang w:eastAsia="zh-CN"/>
        </w:rPr>
      </w:pPr>
    </w:p>
    <w:p w14:paraId="10714B14">
      <w:pPr>
        <w:rPr>
          <w:rFonts w:hint="eastAsia" w:eastAsia="宋体"/>
          <w:lang w:eastAsia="zh-CN"/>
        </w:rPr>
      </w:pPr>
    </w:p>
    <w:p w14:paraId="77693875">
      <w:pPr>
        <w:rPr>
          <w:rFonts w:hint="eastAsia" w:eastAsia="宋体"/>
          <w:lang w:eastAsia="zh-CN"/>
        </w:rPr>
      </w:pPr>
    </w:p>
    <w:p w14:paraId="503176A5">
      <w:pPr>
        <w:rPr>
          <w:rFonts w:hint="eastAsia" w:eastAsia="宋体"/>
          <w:lang w:eastAsia="zh-CN"/>
        </w:rPr>
      </w:pPr>
    </w:p>
    <w:p w14:paraId="25E03063">
      <w:pPr>
        <w:rPr>
          <w:rFonts w:hint="eastAsia" w:eastAsia="宋体"/>
          <w:lang w:eastAsia="zh-CN"/>
        </w:rPr>
      </w:pPr>
    </w:p>
    <w:p w14:paraId="7F41ECE5">
      <w:pPr>
        <w:rPr>
          <w:rFonts w:hint="eastAsia" w:eastAsia="宋体"/>
          <w:lang w:eastAsia="zh-CN"/>
        </w:rPr>
      </w:pPr>
    </w:p>
    <w:p w14:paraId="4E2BD08E">
      <w:pPr>
        <w:jc w:val="center"/>
        <w:rPr>
          <w:rFonts w:hint="eastAsia"/>
          <w:b/>
          <w:bCs/>
          <w:sz w:val="32"/>
          <w:szCs w:val="40"/>
          <w:lang w:eastAsia="zh-CN"/>
        </w:rPr>
      </w:pPr>
      <w:r>
        <w:rPr>
          <w:rFonts w:hint="eastAsia"/>
          <w:b/>
          <w:bCs/>
          <w:sz w:val="32"/>
          <w:szCs w:val="40"/>
          <w:lang w:eastAsia="zh-CN"/>
        </w:rPr>
        <w:t>报价模板</w:t>
      </w:r>
    </w:p>
    <w:tbl>
      <w:tblPr>
        <w:tblStyle w:val="10"/>
        <w:tblpPr w:leftFromText="180" w:rightFromText="180" w:vertAnchor="text" w:horzAnchor="page" w:tblpX="1783" w:tblpY="271"/>
        <w:tblOverlap w:val="never"/>
        <w:tblW w:w="4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24"/>
        <w:gridCol w:w="1418"/>
        <w:gridCol w:w="1507"/>
        <w:gridCol w:w="1630"/>
        <w:gridCol w:w="1580"/>
      </w:tblGrid>
      <w:tr w14:paraId="2662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5" w:type="pct"/>
            <w:vAlign w:val="center"/>
          </w:tcPr>
          <w:p w14:paraId="224ABA34">
            <w:pPr>
              <w:widowControl/>
              <w:spacing w:line="360" w:lineRule="auto"/>
              <w:jc w:val="center"/>
              <w:rPr>
                <w:rFonts w:hint="eastAsia" w:ascii="宋体" w:hAnsi="宋体" w:cs="宋体"/>
                <w:b/>
                <w:bCs/>
                <w:szCs w:val="21"/>
              </w:rPr>
            </w:pPr>
            <w:r>
              <w:rPr>
                <w:rFonts w:hint="eastAsia" w:ascii="宋体" w:hAnsi="宋体" w:cs="宋体"/>
                <w:b/>
                <w:bCs/>
                <w:szCs w:val="21"/>
              </w:rPr>
              <w:t>序号</w:t>
            </w:r>
          </w:p>
        </w:tc>
        <w:tc>
          <w:tcPr>
            <w:tcW w:w="934" w:type="pct"/>
            <w:vAlign w:val="center"/>
          </w:tcPr>
          <w:p w14:paraId="5185E537">
            <w:pPr>
              <w:widowControl/>
              <w:spacing w:line="360" w:lineRule="auto"/>
              <w:jc w:val="center"/>
              <w:rPr>
                <w:rFonts w:hint="eastAsia"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869" w:type="pct"/>
            <w:vAlign w:val="center"/>
          </w:tcPr>
          <w:p w14:paraId="52096E0A">
            <w:pPr>
              <w:widowControl/>
              <w:spacing w:line="360" w:lineRule="auto"/>
              <w:jc w:val="center"/>
              <w:rPr>
                <w:rFonts w:hint="eastAsia" w:ascii="宋体" w:hAnsi="宋体" w:cs="宋体"/>
                <w:b/>
                <w:bCs/>
                <w:szCs w:val="21"/>
              </w:rPr>
            </w:pPr>
            <w:r>
              <w:rPr>
                <w:rFonts w:hint="eastAsia" w:ascii="宋体" w:hAnsi="宋体" w:cs="宋体"/>
                <w:b/>
                <w:bCs/>
                <w:szCs w:val="21"/>
              </w:rPr>
              <w:t>单位</w:t>
            </w:r>
          </w:p>
        </w:tc>
        <w:tc>
          <w:tcPr>
            <w:tcW w:w="924" w:type="pct"/>
            <w:vAlign w:val="center"/>
          </w:tcPr>
          <w:p w14:paraId="4FC0D8BA">
            <w:pPr>
              <w:widowControl/>
              <w:spacing w:line="360" w:lineRule="auto"/>
              <w:jc w:val="center"/>
              <w:rPr>
                <w:rFonts w:hint="eastAsia" w:ascii="宋体" w:hAnsi="宋体" w:cs="宋体"/>
                <w:b/>
                <w:bCs/>
                <w:szCs w:val="21"/>
              </w:rPr>
            </w:pPr>
            <w:r>
              <w:rPr>
                <w:rFonts w:hint="eastAsia" w:ascii="宋体" w:hAnsi="宋体" w:cs="宋体"/>
                <w:b/>
                <w:bCs/>
                <w:szCs w:val="21"/>
              </w:rPr>
              <w:t>预算</w:t>
            </w:r>
            <w:r>
              <w:rPr>
                <w:rFonts w:hint="eastAsia" w:ascii="宋体" w:hAnsi="宋体" w:cs="宋体"/>
                <w:b/>
                <w:bCs/>
                <w:szCs w:val="21"/>
                <w:lang w:eastAsia="zh-CN"/>
              </w:rPr>
              <w:t>单价</w:t>
            </w:r>
            <w:r>
              <w:rPr>
                <w:rFonts w:hint="eastAsia" w:ascii="宋体" w:hAnsi="宋体" w:cs="宋体"/>
                <w:b/>
                <w:bCs/>
                <w:szCs w:val="21"/>
              </w:rPr>
              <w:t>（元）</w:t>
            </w:r>
          </w:p>
        </w:tc>
        <w:tc>
          <w:tcPr>
            <w:tcW w:w="1628" w:type="dxa"/>
            <w:vAlign w:val="center"/>
          </w:tcPr>
          <w:p w14:paraId="1954D8CE">
            <w:pPr>
              <w:widowControl/>
              <w:spacing w:line="360" w:lineRule="auto"/>
              <w:jc w:val="center"/>
              <w:rPr>
                <w:rFonts w:hint="eastAsia" w:ascii="宋体" w:hAnsi="宋体" w:eastAsia="宋体" w:cs="宋体"/>
                <w:b/>
                <w:bCs/>
                <w:szCs w:val="21"/>
                <w:lang w:eastAsia="zh-CN"/>
              </w:rPr>
            </w:pPr>
            <w:r>
              <w:rPr>
                <w:rFonts w:hint="eastAsia" w:ascii="宋体" w:hAnsi="宋体" w:cs="宋体"/>
                <w:b/>
                <w:bCs/>
                <w:szCs w:val="21"/>
                <w:lang w:eastAsia="zh-CN"/>
              </w:rPr>
              <w:t>支付上限</w:t>
            </w:r>
            <w:r>
              <w:rPr>
                <w:rFonts w:hint="eastAsia" w:ascii="宋体" w:hAnsi="宋体" w:cs="宋体"/>
                <w:b/>
                <w:bCs/>
                <w:szCs w:val="21"/>
              </w:rPr>
              <w:t>（元）</w:t>
            </w:r>
          </w:p>
        </w:tc>
        <w:tc>
          <w:tcPr>
            <w:tcW w:w="1579" w:type="dxa"/>
            <w:vAlign w:val="center"/>
          </w:tcPr>
          <w:p w14:paraId="70B5CF43">
            <w:pPr>
              <w:widowControl/>
              <w:spacing w:line="360" w:lineRule="auto"/>
              <w:jc w:val="center"/>
              <w:rPr>
                <w:rFonts w:hint="eastAsia" w:ascii="宋体" w:hAnsi="宋体" w:cs="宋体"/>
                <w:b/>
                <w:bCs/>
                <w:szCs w:val="21"/>
                <w:lang w:eastAsia="zh-CN"/>
              </w:rPr>
            </w:pPr>
            <w:r>
              <w:rPr>
                <w:rFonts w:hint="eastAsia" w:ascii="宋体" w:hAnsi="宋体" w:cs="宋体"/>
                <w:b/>
                <w:bCs/>
                <w:szCs w:val="21"/>
                <w:lang w:eastAsia="zh-CN"/>
              </w:rPr>
              <w:t>备注</w:t>
            </w:r>
          </w:p>
        </w:tc>
      </w:tr>
      <w:tr w14:paraId="5B81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05" w:type="pct"/>
          </w:tcPr>
          <w:p w14:paraId="3946C0B6">
            <w:pPr>
              <w:widowControl/>
              <w:spacing w:line="360" w:lineRule="auto"/>
              <w:jc w:val="center"/>
              <w:rPr>
                <w:rFonts w:hint="eastAsia" w:ascii="宋体" w:hAnsi="宋体" w:cs="宋体"/>
                <w:bCs/>
                <w:szCs w:val="21"/>
              </w:rPr>
            </w:pPr>
            <w:r>
              <w:rPr>
                <w:rFonts w:hint="eastAsia" w:ascii="宋体" w:hAnsi="宋体" w:cs="宋体"/>
                <w:bCs/>
                <w:szCs w:val="21"/>
              </w:rPr>
              <w:t>1</w:t>
            </w:r>
          </w:p>
        </w:tc>
        <w:tc>
          <w:tcPr>
            <w:tcW w:w="934" w:type="pct"/>
            <w:vAlign w:val="center"/>
          </w:tcPr>
          <w:p w14:paraId="01422C2B">
            <w:pPr>
              <w:widowControl/>
              <w:spacing w:line="360" w:lineRule="auto"/>
              <w:jc w:val="center"/>
              <w:rPr>
                <w:rFonts w:hint="eastAsia" w:ascii="宋体" w:hAnsi="宋体" w:cs="宋体"/>
                <w:szCs w:val="21"/>
              </w:rPr>
            </w:pPr>
            <w:r>
              <w:t>氟[</w:t>
            </w:r>
            <w:r>
              <w:rPr>
                <w:rFonts w:hint="eastAsia"/>
              </w:rPr>
              <w:t>18F</w:t>
            </w:r>
            <w:r>
              <w:t>]脱氧葡糖注射液</w:t>
            </w:r>
            <w:r>
              <w:rPr>
                <w:rFonts w:hint="eastAsia"/>
                <w:lang w:eastAsia="zh-CN"/>
              </w:rPr>
              <w:t>（</w:t>
            </w:r>
            <w:r>
              <w:rPr>
                <w:rFonts w:hint="eastAsia"/>
              </w:rPr>
              <w:t>每人份（10mCi）</w:t>
            </w:r>
            <w:r>
              <w:rPr>
                <w:rFonts w:hint="eastAsia"/>
                <w:lang w:eastAsia="zh-CN"/>
              </w:rPr>
              <w:t>）</w:t>
            </w:r>
          </w:p>
        </w:tc>
        <w:tc>
          <w:tcPr>
            <w:tcW w:w="869" w:type="pct"/>
            <w:vAlign w:val="center"/>
          </w:tcPr>
          <w:p w14:paraId="481FC144">
            <w:pPr>
              <w:widowControl/>
              <w:spacing w:line="360" w:lineRule="auto"/>
              <w:jc w:val="center"/>
              <w:rPr>
                <w:rFonts w:hint="eastAsia" w:ascii="宋体" w:hAnsi="宋体" w:cs="宋体"/>
                <w:szCs w:val="21"/>
              </w:rPr>
            </w:pPr>
            <w:r>
              <w:rPr>
                <w:rFonts w:hint="eastAsia"/>
                <w:lang w:eastAsia="zh-CN"/>
              </w:rPr>
              <w:t>（</w:t>
            </w:r>
            <w:r>
              <w:rPr>
                <w:rFonts w:hint="eastAsia"/>
              </w:rPr>
              <w:t>每人份（10mCi）</w:t>
            </w:r>
            <w:r>
              <w:rPr>
                <w:rFonts w:hint="eastAsia"/>
                <w:lang w:eastAsia="zh-CN"/>
              </w:rPr>
              <w:t>）</w:t>
            </w:r>
          </w:p>
        </w:tc>
        <w:tc>
          <w:tcPr>
            <w:tcW w:w="924" w:type="pct"/>
            <w:vAlign w:val="center"/>
          </w:tcPr>
          <w:p w14:paraId="0F909E94">
            <w:pPr>
              <w:widowControl/>
              <w:spacing w:line="360" w:lineRule="auto"/>
              <w:jc w:val="center"/>
              <w:rPr>
                <w:rFonts w:hint="eastAsia" w:ascii="宋体" w:hAnsi="宋体" w:cs="宋体"/>
                <w:szCs w:val="21"/>
                <w:lang w:val="en-US" w:eastAsia="zh-CN"/>
              </w:rPr>
            </w:pPr>
            <w:r>
              <w:rPr>
                <w:rFonts w:hint="eastAsia" w:ascii="宋体" w:hAnsi="宋体" w:cs="宋体"/>
                <w:szCs w:val="21"/>
                <w:u w:val="single"/>
                <w:lang w:val="en-US" w:eastAsia="zh-CN"/>
              </w:rPr>
              <w:t xml:space="preserve">        </w:t>
            </w:r>
            <w:r>
              <w:rPr>
                <w:rFonts w:hint="eastAsia" w:ascii="宋体" w:hAnsi="宋体" w:cs="宋体"/>
                <w:szCs w:val="21"/>
                <w:lang w:val="en-US" w:eastAsia="zh-CN"/>
              </w:rPr>
              <w:t>元/</w:t>
            </w:r>
            <w:r>
              <w:rPr>
                <w:rFonts w:hint="eastAsia"/>
              </w:rPr>
              <w:t>每人份（10mCi</w:t>
            </w:r>
          </w:p>
        </w:tc>
        <w:tc>
          <w:tcPr>
            <w:tcW w:w="1628" w:type="dxa"/>
            <w:vAlign w:val="center"/>
          </w:tcPr>
          <w:p w14:paraId="4F45B066">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3600000元/年</w:t>
            </w:r>
          </w:p>
        </w:tc>
        <w:tc>
          <w:tcPr>
            <w:tcW w:w="1579" w:type="dxa"/>
            <w:vAlign w:val="center"/>
          </w:tcPr>
          <w:p w14:paraId="476BE396">
            <w:pPr>
              <w:widowControl/>
              <w:spacing w:line="360" w:lineRule="auto"/>
              <w:jc w:val="center"/>
              <w:rPr>
                <w:rFonts w:hint="eastAsia" w:eastAsia="宋体"/>
                <w:lang w:eastAsia="zh-CN"/>
              </w:rPr>
            </w:pPr>
            <w:r>
              <w:rPr>
                <w:rFonts w:hint="eastAsia"/>
                <w:lang w:eastAsia="zh-CN"/>
              </w:rPr>
              <w:t>单价不得高于</w:t>
            </w:r>
            <w:r>
              <w:rPr>
                <w:rFonts w:hint="eastAsia"/>
                <w:lang w:val="en-US" w:eastAsia="zh-CN"/>
              </w:rPr>
              <w:t>1000元/</w:t>
            </w:r>
            <w:r>
              <w:rPr>
                <w:rFonts w:hint="eastAsia"/>
              </w:rPr>
              <w:t>每人份（10mCi）</w:t>
            </w:r>
          </w:p>
        </w:tc>
      </w:tr>
    </w:tbl>
    <w:p w14:paraId="6E48FF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19796"/>
    <w:multiLevelType w:val="singleLevel"/>
    <w:tmpl w:val="A5719796"/>
    <w:lvl w:ilvl="0" w:tentative="0">
      <w:start w:val="1"/>
      <w:numFmt w:val="chineseCounting"/>
      <w:suff w:val="nothing"/>
      <w:lvlText w:val="%1、"/>
      <w:lvlJc w:val="left"/>
      <w:pPr>
        <w:ind w:left="0" w:firstLine="420"/>
      </w:pPr>
      <w:rPr>
        <w:rFonts w:hint="eastAsia"/>
      </w:rPr>
    </w:lvl>
  </w:abstractNum>
  <w:abstractNum w:abstractNumId="1">
    <w:nsid w:val="B269CB2C"/>
    <w:multiLevelType w:val="singleLevel"/>
    <w:tmpl w:val="B269CB2C"/>
    <w:lvl w:ilvl="0" w:tentative="0">
      <w:start w:val="1"/>
      <w:numFmt w:val="chineseCounting"/>
      <w:suff w:val="nothing"/>
      <w:lvlText w:val="（%1）"/>
      <w:lvlJc w:val="left"/>
      <w:pPr>
        <w:ind w:left="420" w:firstLine="420"/>
      </w:pPr>
      <w:rPr>
        <w:rFonts w:hint="eastAsia"/>
      </w:rPr>
    </w:lvl>
  </w:abstractNum>
  <w:abstractNum w:abstractNumId="2">
    <w:nsid w:val="C22EB549"/>
    <w:multiLevelType w:val="singleLevel"/>
    <w:tmpl w:val="C22EB549"/>
    <w:lvl w:ilvl="0" w:tentative="0">
      <w:start w:val="1"/>
      <w:numFmt w:val="decimal"/>
      <w:lvlText w:val="%1."/>
      <w:lvlJc w:val="left"/>
      <w:pPr>
        <w:ind w:left="425" w:hanging="425"/>
      </w:pPr>
      <w:rPr>
        <w:rFonts w:hint="default"/>
      </w:rPr>
    </w:lvl>
  </w:abstractNum>
  <w:abstractNum w:abstractNumId="3">
    <w:nsid w:val="E21BFC41"/>
    <w:multiLevelType w:val="singleLevel"/>
    <w:tmpl w:val="E21BFC41"/>
    <w:lvl w:ilvl="0" w:tentative="0">
      <w:start w:val="1"/>
      <w:numFmt w:val="decimal"/>
      <w:lvlText w:val="(%1)"/>
      <w:lvlJc w:val="left"/>
      <w:pPr>
        <w:ind w:left="425" w:hanging="425"/>
      </w:pPr>
      <w:rPr>
        <w:rFonts w:hint="default"/>
      </w:rPr>
    </w:lvl>
  </w:abstractNum>
  <w:abstractNum w:abstractNumId="4">
    <w:nsid w:val="EA55E89F"/>
    <w:multiLevelType w:val="singleLevel"/>
    <w:tmpl w:val="EA55E89F"/>
    <w:lvl w:ilvl="0" w:tentative="0">
      <w:start w:val="1"/>
      <w:numFmt w:val="decimal"/>
      <w:lvlText w:val="(%1)"/>
      <w:lvlJc w:val="left"/>
      <w:pPr>
        <w:ind w:left="425" w:hanging="425"/>
      </w:pPr>
      <w:rPr>
        <w:rFonts w:hint="default"/>
      </w:rPr>
    </w:lvl>
  </w:abstractNum>
  <w:abstractNum w:abstractNumId="5">
    <w:nsid w:val="09AFF11F"/>
    <w:multiLevelType w:val="singleLevel"/>
    <w:tmpl w:val="09AFF11F"/>
    <w:lvl w:ilvl="0" w:tentative="0">
      <w:start w:val="1"/>
      <w:numFmt w:val="decimal"/>
      <w:lvlText w:val="(%1)"/>
      <w:lvlJc w:val="left"/>
      <w:pPr>
        <w:ind w:left="425" w:hanging="425"/>
      </w:pPr>
      <w:rPr>
        <w:rFonts w:hint="default"/>
      </w:rPr>
    </w:lvl>
  </w:abstractNum>
  <w:abstractNum w:abstractNumId="6">
    <w:nsid w:val="0FD048A4"/>
    <w:multiLevelType w:val="singleLevel"/>
    <w:tmpl w:val="0FD048A4"/>
    <w:lvl w:ilvl="0" w:tentative="0">
      <w:start w:val="1"/>
      <w:numFmt w:val="decimal"/>
      <w:lvlText w:val="(%1)"/>
      <w:lvlJc w:val="left"/>
      <w:pPr>
        <w:ind w:left="425" w:hanging="425"/>
      </w:pPr>
      <w:rPr>
        <w:rFonts w:hint="default"/>
      </w:rPr>
    </w:lvl>
  </w:abstractNum>
  <w:abstractNum w:abstractNumId="7">
    <w:nsid w:val="1AA939F4"/>
    <w:multiLevelType w:val="singleLevel"/>
    <w:tmpl w:val="1AA939F4"/>
    <w:lvl w:ilvl="0" w:tentative="0">
      <w:start w:val="1"/>
      <w:numFmt w:val="decimal"/>
      <w:suff w:val="space"/>
      <w:lvlText w:val="%1."/>
      <w:lvlJc w:val="left"/>
    </w:lvl>
  </w:abstractNum>
  <w:abstractNum w:abstractNumId="8">
    <w:nsid w:val="442A87A5"/>
    <w:multiLevelType w:val="singleLevel"/>
    <w:tmpl w:val="442A87A5"/>
    <w:lvl w:ilvl="0" w:tentative="0">
      <w:start w:val="1"/>
      <w:numFmt w:val="chineseCounting"/>
      <w:suff w:val="nothing"/>
      <w:lvlText w:val="（%1）"/>
      <w:lvlJc w:val="left"/>
      <w:rPr>
        <w:rFonts w:hint="eastAsia"/>
      </w:rPr>
    </w:lvl>
  </w:abstractNum>
  <w:abstractNum w:abstractNumId="9">
    <w:nsid w:val="7CD0D76B"/>
    <w:multiLevelType w:val="singleLevel"/>
    <w:tmpl w:val="7CD0D76B"/>
    <w:lvl w:ilvl="0" w:tentative="0">
      <w:start w:val="1"/>
      <w:numFmt w:val="decimal"/>
      <w:suff w:val="nothing"/>
      <w:lvlText w:val="%1、"/>
      <w:lvlJc w:val="left"/>
    </w:lvl>
  </w:abstractNum>
  <w:num w:numId="1">
    <w:abstractNumId w:val="0"/>
  </w:num>
  <w:num w:numId="2">
    <w:abstractNumId w:val="1"/>
  </w:num>
  <w:num w:numId="3">
    <w:abstractNumId w:val="7"/>
  </w:num>
  <w:num w:numId="4">
    <w:abstractNumId w:val="4"/>
  </w:num>
  <w:num w:numId="5">
    <w:abstractNumId w:val="6"/>
  </w:num>
  <w:num w:numId="6">
    <w:abstractNumId w:val="3"/>
  </w:num>
  <w:num w:numId="7">
    <w:abstractNumId w:val="5"/>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先森。。。。（李璟）">
    <w15:presenceInfo w15:providerId="WPS Office" w15:userId="884220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67D44"/>
    <w:rsid w:val="10D02C1A"/>
    <w:rsid w:val="1BDF3C19"/>
    <w:rsid w:val="361A2B85"/>
    <w:rsid w:val="43367D44"/>
    <w:rsid w:val="449646DF"/>
    <w:rsid w:val="6B9B584C"/>
    <w:rsid w:val="6CE67384"/>
    <w:rsid w:val="748A63DE"/>
    <w:rsid w:val="763B7D07"/>
    <w:rsid w:val="771C10CD"/>
    <w:rsid w:val="7FBD5B40"/>
    <w:rsid w:val="E72B5536"/>
    <w:rsid w:val="FB75D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autoSpaceDE w:val="0"/>
      <w:autoSpaceDN w:val="0"/>
      <w:adjustRightInd w:val="0"/>
      <w:jc w:val="left"/>
      <w:textAlignment w:val="baseline"/>
    </w:pPr>
    <w:rPr>
      <w:rFonts w:ascii="宋体"/>
      <w:kern w:val="0"/>
      <w:sz w:val="34"/>
      <w:szCs w:val="20"/>
    </w:r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rFonts w:ascii="Times New Roman" w:hAnsi="Times New Roman" w:eastAsia="宋体" w:cs="Times New Roman"/>
      <w:sz w:val="24"/>
    </w:rPr>
  </w:style>
  <w:style w:type="paragraph" w:styleId="5">
    <w:name w:val="Body Text Indent"/>
    <w:basedOn w:val="1"/>
    <w:qFormat/>
    <w:uiPriority w:val="0"/>
    <w:pPr>
      <w:spacing w:line="360" w:lineRule="auto"/>
      <w:ind w:firstLine="420" w:firstLineChars="2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2"/>
    <w:basedOn w:val="5"/>
    <w:qFormat/>
    <w:uiPriority w:val="0"/>
    <w:pPr>
      <w:spacing w:line="240" w:lineRule="auto"/>
    </w:pPr>
    <w:rPr>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ascii="Times New Roman" w:hAnsi="Times New Roman" w:eastAsia="宋体" w:cs="Times New Roman"/>
      <w:b/>
    </w:rPr>
  </w:style>
  <w:style w:type="paragraph" w:styleId="14">
    <w:name w:val="List Paragraph"/>
    <w:basedOn w:val="1"/>
    <w:autoRedefine/>
    <w:qFormat/>
    <w:uiPriority w:val="0"/>
    <w:pPr>
      <w:ind w:firstLine="420" w:firstLineChars="200"/>
    </w:pPr>
    <w:rPr>
      <w:rFonts w:ascii="Calibri" w:hAnsi="Calibri"/>
      <w:szCs w:val="22"/>
    </w:rPr>
  </w:style>
  <w:style w:type="paragraph" w:customStyle="1" w:styleId="15">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6457</Words>
  <Characters>6632</Characters>
  <Lines>0</Lines>
  <Paragraphs>0</Paragraphs>
  <TotalTime>36</TotalTime>
  <ScaleCrop>false</ScaleCrop>
  <LinksUpToDate>false</LinksUpToDate>
  <CharactersWithSpaces>6670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2026-03-13T13:37:00Z</dcterms:created>
  <dc:creator>zlyy</dc:creator>
  <cp:lastModifiedBy>李先森。。。。（李璟）</cp:lastModifiedBy>
  <cp:lastPrinted>2026-05-15T08:07:00Z</cp:lastPrinted>
  <dcterms:modified xsi:type="dcterms:W3CDTF">2026-06-26T09:49:38Z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E2AE4CCBE59845EB9380EDDFE28E2094_13</vt:lpwstr>
  </property>
  <property fmtid="{D5CDD505-2E9C-101B-9397-08002B2CF9AE}" pid="4" name="KSOTemplateDocerSaveRecord">
    <vt:lpwstr>eyJoZGlkIjoiMWY4NTc0MzQ5YTUxMDk4OTJkZGUxOGU4NDc5ZmRkMzYiLCJ1c2VySWQiOiI0MDM5NzU1NTcifQ==</vt:lpwstr>
  </property>
</Properties>
</file>