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3A146">
      <w:pPr>
        <w:jc w:val="center"/>
        <w:outlineLvl w:val="0"/>
        <w:rPr>
          <w:rFonts w:hint="eastAsia" w:ascii="黑体" w:hAnsi="黑体" w:eastAsia="黑体" w:cs="黑体"/>
          <w:bCs/>
          <w:sz w:val="96"/>
          <w:szCs w:val="96"/>
          <w:lang w:eastAsia="zh-CN"/>
        </w:rPr>
      </w:pPr>
      <w:r>
        <w:rPr>
          <w:rFonts w:hint="eastAsia" w:ascii="黑体" w:hAnsi="黑体" w:eastAsia="黑体" w:cs="黑体"/>
          <w:bCs/>
          <w:sz w:val="96"/>
          <w:szCs w:val="96"/>
          <w:lang w:eastAsia="zh-CN"/>
        </w:rPr>
        <w:t>2026年度招标代理机构服务项目</w:t>
      </w:r>
    </w:p>
    <w:p w14:paraId="501E63A7">
      <w:pPr>
        <w:jc w:val="center"/>
        <w:rPr>
          <w:rFonts w:ascii="黑体" w:hAnsi="黑体" w:eastAsia="黑体" w:cs="黑体"/>
          <w:bCs/>
          <w:sz w:val="32"/>
          <w:szCs w:val="32"/>
          <w:highlight w:val="yellow"/>
        </w:rPr>
      </w:pPr>
    </w:p>
    <w:p w14:paraId="33F7DB76">
      <w:pPr>
        <w:jc w:val="center"/>
        <w:rPr>
          <w:rFonts w:ascii="黑体" w:hAnsi="黑体" w:eastAsia="黑体" w:cs="黑体"/>
          <w:bCs/>
          <w:color w:val="000000"/>
          <w:sz w:val="28"/>
          <w:szCs w:val="28"/>
          <w:highlight w:val="green"/>
        </w:rPr>
      </w:pPr>
    </w:p>
    <w:p w14:paraId="69AEF800">
      <w:pPr>
        <w:jc w:val="center"/>
        <w:rPr>
          <w:rFonts w:ascii="黑体" w:hAnsi="黑体" w:eastAsia="黑体" w:cs="黑体"/>
          <w:bCs/>
          <w:color w:val="000000"/>
          <w:sz w:val="28"/>
          <w:szCs w:val="28"/>
          <w:highlight w:val="green"/>
        </w:rPr>
      </w:pPr>
    </w:p>
    <w:p w14:paraId="4EEB5A94">
      <w:pPr>
        <w:pStyle w:val="2"/>
        <w:rPr>
          <w:rFonts w:ascii="黑体" w:hAnsi="黑体" w:eastAsia="黑体" w:cs="黑体"/>
          <w:bCs/>
          <w:color w:val="000000"/>
          <w:sz w:val="36"/>
          <w:szCs w:val="36"/>
          <w:highlight w:val="green"/>
        </w:rPr>
      </w:pPr>
    </w:p>
    <w:p w14:paraId="7C249C72"/>
    <w:p w14:paraId="726D35FE">
      <w:pPr>
        <w:jc w:val="center"/>
        <w:rPr>
          <w:rFonts w:ascii="黑体" w:hAnsi="黑体" w:eastAsia="黑体" w:cs="黑体"/>
          <w:bCs/>
          <w:sz w:val="84"/>
          <w:szCs w:val="84"/>
        </w:rPr>
      </w:pPr>
      <w:r>
        <w:rPr>
          <w:rFonts w:hint="eastAsia" w:ascii="黑体" w:hAnsi="黑体" w:eastAsia="黑体" w:cs="黑体"/>
          <w:bCs/>
          <w:sz w:val="84"/>
          <w:szCs w:val="84"/>
        </w:rPr>
        <w:t>招标文件</w:t>
      </w:r>
    </w:p>
    <w:p w14:paraId="044D784D">
      <w:pPr>
        <w:jc w:val="center"/>
        <w:rPr>
          <w:rFonts w:ascii="黑体" w:hAnsi="黑体" w:eastAsia="黑体" w:cs="黑体"/>
          <w:bCs/>
          <w:sz w:val="28"/>
          <w:szCs w:val="28"/>
        </w:rPr>
      </w:pPr>
      <w:r>
        <w:rPr>
          <w:rFonts w:hint="eastAsia" w:ascii="黑体" w:hAnsi="黑体" w:eastAsia="黑体" w:cs="黑体"/>
          <w:bCs/>
          <w:sz w:val="28"/>
          <w:szCs w:val="28"/>
        </w:rPr>
        <w:t>（项目编号：QTFW-202603007）</w:t>
      </w:r>
    </w:p>
    <w:p w14:paraId="5E56FEBB">
      <w:pPr>
        <w:widowControl/>
        <w:autoSpaceDE w:val="0"/>
        <w:autoSpaceDN w:val="0"/>
        <w:spacing w:line="360" w:lineRule="auto"/>
        <w:ind w:right="-36"/>
        <w:jc w:val="center"/>
        <w:textAlignment w:val="bottom"/>
        <w:rPr>
          <w:rFonts w:hint="eastAsia" w:ascii="黑体" w:hAnsi="黑体" w:eastAsia="黑体" w:cs="黑体"/>
          <w:b/>
          <w:sz w:val="44"/>
        </w:rPr>
      </w:pPr>
    </w:p>
    <w:p w14:paraId="2EC40007">
      <w:pPr>
        <w:widowControl/>
        <w:autoSpaceDE w:val="0"/>
        <w:autoSpaceDN w:val="0"/>
        <w:spacing w:line="360" w:lineRule="auto"/>
        <w:ind w:right="-36"/>
        <w:jc w:val="center"/>
        <w:textAlignment w:val="bottom"/>
        <w:rPr>
          <w:rFonts w:hint="eastAsia" w:ascii="黑体" w:hAnsi="黑体" w:eastAsia="黑体" w:cs="黑体"/>
          <w:b/>
          <w:sz w:val="44"/>
        </w:rPr>
      </w:pPr>
    </w:p>
    <w:p w14:paraId="6A501178">
      <w:pPr>
        <w:widowControl/>
        <w:autoSpaceDE w:val="0"/>
        <w:autoSpaceDN w:val="0"/>
        <w:spacing w:line="360" w:lineRule="auto"/>
        <w:ind w:right="-36"/>
        <w:jc w:val="center"/>
        <w:textAlignment w:val="bottom"/>
        <w:rPr>
          <w:rFonts w:hint="eastAsia" w:ascii="黑体" w:hAnsi="黑体" w:eastAsia="黑体" w:cs="黑体"/>
          <w:b/>
          <w:sz w:val="44"/>
        </w:rPr>
      </w:pPr>
    </w:p>
    <w:p w14:paraId="21C1DFB2">
      <w:pPr>
        <w:widowControl/>
        <w:autoSpaceDE w:val="0"/>
        <w:autoSpaceDN w:val="0"/>
        <w:spacing w:line="360" w:lineRule="auto"/>
        <w:ind w:right="-36"/>
        <w:jc w:val="both"/>
        <w:textAlignment w:val="bottom"/>
        <w:rPr>
          <w:rFonts w:hint="eastAsia" w:ascii="黑体" w:hAnsi="黑体" w:eastAsia="黑体" w:cs="黑体"/>
          <w:b/>
          <w:sz w:val="44"/>
        </w:rPr>
      </w:pPr>
    </w:p>
    <w:p w14:paraId="78F8775B">
      <w:pPr>
        <w:widowControl/>
        <w:autoSpaceDE w:val="0"/>
        <w:autoSpaceDN w:val="0"/>
        <w:spacing w:line="360" w:lineRule="auto"/>
        <w:ind w:right="-36"/>
        <w:jc w:val="center"/>
        <w:textAlignment w:val="bottom"/>
        <w:rPr>
          <w:rFonts w:ascii="黑体" w:hAnsi="黑体" w:eastAsia="黑体" w:cs="黑体"/>
          <w:b/>
          <w:sz w:val="28"/>
          <w:szCs w:val="28"/>
        </w:rPr>
      </w:pPr>
      <w:r>
        <w:rPr>
          <w:rFonts w:hint="eastAsia" w:ascii="黑体" w:hAnsi="黑体" w:eastAsia="黑体" w:cs="黑体"/>
          <w:b/>
          <w:sz w:val="44"/>
        </w:rPr>
        <w:tab/>
      </w:r>
    </w:p>
    <w:p w14:paraId="0E2EA9BD">
      <w:pPr>
        <w:widowControl/>
        <w:autoSpaceDE w:val="0"/>
        <w:autoSpaceDN w:val="0"/>
        <w:spacing w:line="360" w:lineRule="auto"/>
        <w:ind w:right="-36"/>
        <w:textAlignment w:val="bottom"/>
        <w:rPr>
          <w:rFonts w:ascii="黑体" w:hAnsi="黑体" w:eastAsia="黑体" w:cs="黑体"/>
          <w:b/>
          <w:sz w:val="28"/>
          <w:szCs w:val="28"/>
        </w:rPr>
      </w:pPr>
    </w:p>
    <w:p w14:paraId="0F26BAF3">
      <w:pPr>
        <w:pStyle w:val="2"/>
        <w:rPr>
          <w:rFonts w:ascii="黑体" w:hAnsi="黑体" w:eastAsia="黑体" w:cs="黑体"/>
          <w:b/>
          <w:sz w:val="28"/>
          <w:szCs w:val="28"/>
        </w:rPr>
      </w:pPr>
    </w:p>
    <w:p w14:paraId="6E09AEE2">
      <w:pPr>
        <w:widowControl/>
        <w:autoSpaceDE w:val="0"/>
        <w:autoSpaceDN w:val="0"/>
        <w:spacing w:line="312" w:lineRule="auto"/>
        <w:ind w:right="-34"/>
        <w:jc w:val="center"/>
        <w:textAlignment w:val="bottom"/>
        <w:rPr>
          <w:rFonts w:ascii="黑体" w:hAnsi="黑体" w:eastAsia="黑体" w:cs="黑体"/>
          <w:bCs/>
          <w:sz w:val="36"/>
          <w:szCs w:val="36"/>
        </w:rPr>
      </w:pPr>
      <w:bookmarkStart w:id="0" w:name="_Toc6666"/>
      <w:r>
        <w:rPr>
          <w:rFonts w:hint="eastAsia" w:ascii="黑体" w:hAnsi="黑体" w:eastAsia="黑体" w:cs="黑体"/>
          <w:bCs/>
          <w:sz w:val="36"/>
          <w:szCs w:val="36"/>
        </w:rPr>
        <w:t>采购人：</w:t>
      </w:r>
      <w:bookmarkEnd w:id="0"/>
      <w:r>
        <w:rPr>
          <w:rFonts w:hint="eastAsia" w:ascii="黑体" w:hAnsi="黑体" w:eastAsia="黑体" w:cs="黑体"/>
          <w:bCs/>
          <w:sz w:val="36"/>
          <w:szCs w:val="36"/>
        </w:rPr>
        <w:t>中国医学科学院肿瘤医院深圳医院</w:t>
      </w:r>
    </w:p>
    <w:p w14:paraId="01E7163E">
      <w:pPr>
        <w:widowControl/>
        <w:autoSpaceDE w:val="0"/>
        <w:autoSpaceDN w:val="0"/>
        <w:spacing w:line="312" w:lineRule="auto"/>
        <w:ind w:right="-36"/>
        <w:jc w:val="center"/>
        <w:textAlignment w:val="bottom"/>
        <w:rPr>
          <w:rFonts w:ascii="黑体" w:hAnsi="黑体" w:eastAsia="黑体" w:cs="黑体"/>
          <w:bCs/>
          <w:sz w:val="36"/>
          <w:szCs w:val="36"/>
        </w:rPr>
      </w:pPr>
    </w:p>
    <w:p w14:paraId="25F983CB">
      <w:pPr>
        <w:widowControl/>
        <w:autoSpaceDE w:val="0"/>
        <w:autoSpaceDN w:val="0"/>
        <w:spacing w:line="312" w:lineRule="auto"/>
        <w:ind w:right="-36"/>
        <w:jc w:val="center"/>
        <w:textAlignment w:val="bottom"/>
        <w:rPr>
          <w:rFonts w:ascii="黑体" w:hAnsi="黑体" w:eastAsia="黑体" w:cs="黑体"/>
          <w:bCs/>
          <w:sz w:val="36"/>
          <w:szCs w:val="36"/>
        </w:rPr>
      </w:pPr>
      <w:r>
        <w:rPr>
          <w:rFonts w:hint="eastAsia" w:ascii="黑体" w:hAnsi="黑体" w:eastAsia="黑体" w:cs="黑体"/>
          <w:bCs/>
          <w:sz w:val="36"/>
          <w:szCs w:val="36"/>
        </w:rPr>
        <w:t>202</w:t>
      </w:r>
      <w:r>
        <w:rPr>
          <w:rFonts w:hint="eastAsia" w:ascii="黑体" w:hAnsi="黑体" w:eastAsia="黑体" w:cs="黑体"/>
          <w:bCs/>
          <w:sz w:val="36"/>
          <w:szCs w:val="36"/>
          <w:lang w:val="en-US" w:eastAsia="zh-CN"/>
        </w:rPr>
        <w:t>6</w:t>
      </w:r>
      <w:r>
        <w:rPr>
          <w:rFonts w:hint="eastAsia" w:ascii="黑体" w:hAnsi="黑体" w:eastAsia="黑体" w:cs="黑体"/>
          <w:bCs/>
          <w:sz w:val="36"/>
          <w:szCs w:val="36"/>
        </w:rPr>
        <w:t>年</w:t>
      </w:r>
      <w:r>
        <w:rPr>
          <w:rFonts w:hint="eastAsia" w:ascii="黑体" w:hAnsi="黑体" w:eastAsia="黑体" w:cs="黑体"/>
          <w:bCs/>
          <w:sz w:val="36"/>
          <w:szCs w:val="36"/>
          <w:lang w:val="en-US" w:eastAsia="zh-CN"/>
        </w:rPr>
        <w:t>7</w:t>
      </w:r>
      <w:r>
        <w:rPr>
          <w:rFonts w:hint="eastAsia" w:ascii="黑体" w:hAnsi="黑体" w:eastAsia="黑体" w:cs="黑体"/>
          <w:bCs/>
          <w:sz w:val="36"/>
          <w:szCs w:val="36"/>
        </w:rPr>
        <w:t>月</w:t>
      </w:r>
    </w:p>
    <w:p w14:paraId="0BAE55C2">
      <w:pPr>
        <w:autoSpaceDE w:val="0"/>
        <w:autoSpaceDN w:val="0"/>
        <w:adjustRightInd w:val="0"/>
        <w:spacing w:line="360" w:lineRule="auto"/>
        <w:jc w:val="both"/>
        <w:rPr>
          <w:rFonts w:hint="eastAsia" w:ascii="黑体" w:hAnsi="黑体" w:eastAsia="黑体" w:cs="黑体"/>
          <w:color w:val="FF0000"/>
          <w:kern w:val="0"/>
          <w:sz w:val="28"/>
          <w:szCs w:val="28"/>
          <w:u w:val="double"/>
        </w:rPr>
        <w:sectPr>
          <w:headerReference r:id="rId4" w:type="first"/>
          <w:footerReference r:id="rId7" w:type="first"/>
          <w:headerReference r:id="rId3" w:type="default"/>
          <w:footerReference r:id="rId5" w:type="default"/>
          <w:footerReference r:id="rId6" w:type="even"/>
          <w:pgSz w:w="12240" w:h="15840"/>
          <w:pgMar w:top="1440" w:right="1800" w:bottom="1440" w:left="1800" w:header="720" w:footer="720" w:gutter="0"/>
          <w:pgNumType w:start="1"/>
          <w:cols w:space="720" w:num="1"/>
          <w:titlePg/>
        </w:sectPr>
      </w:pPr>
      <w:bookmarkStart w:id="1" w:name="_Toc30170"/>
    </w:p>
    <w:p w14:paraId="5368798D">
      <w:pPr>
        <w:autoSpaceDE w:val="0"/>
        <w:autoSpaceDN w:val="0"/>
        <w:adjustRightInd w:val="0"/>
        <w:spacing w:line="360" w:lineRule="auto"/>
        <w:jc w:val="center"/>
        <w:rPr>
          <w:rFonts w:ascii="宋体" w:hAnsi="宋体" w:eastAsia="黑体" w:cs="仿宋_GB2312"/>
          <w:kern w:val="0"/>
          <w:szCs w:val="21"/>
        </w:rPr>
      </w:pPr>
      <w:r>
        <w:rPr>
          <w:rFonts w:hint="eastAsia" w:ascii="黑体" w:hAnsi="黑体" w:eastAsia="黑体" w:cs="黑体"/>
          <w:color w:val="FF0000"/>
          <w:kern w:val="0"/>
          <w:sz w:val="28"/>
          <w:szCs w:val="28"/>
          <w:u w:val="double"/>
        </w:rPr>
        <w:t>【特别警示条款</w:t>
      </w:r>
      <w:bookmarkEnd w:id="1"/>
      <w:r>
        <w:rPr>
          <w:rFonts w:hint="eastAsia" w:ascii="黑体" w:hAnsi="黑体" w:eastAsia="黑体" w:cs="黑体"/>
          <w:color w:val="FF0000"/>
          <w:kern w:val="0"/>
          <w:sz w:val="28"/>
          <w:szCs w:val="28"/>
          <w:u w:val="double"/>
        </w:rPr>
        <w:t>】</w:t>
      </w:r>
    </w:p>
    <w:p w14:paraId="48054934">
      <w:pPr>
        <w:autoSpaceDE w:val="0"/>
        <w:autoSpaceDN w:val="0"/>
        <w:adjustRightInd w:val="0"/>
        <w:spacing w:line="288" w:lineRule="auto"/>
        <w:ind w:firstLine="422" w:firstLineChars="200"/>
        <w:jc w:val="left"/>
        <w:rPr>
          <w:rFonts w:ascii="宋体" w:hAnsi="宋体" w:cs="仿宋_GB2312"/>
          <w:b/>
          <w:color w:val="FF0000"/>
          <w:kern w:val="0"/>
          <w:szCs w:val="21"/>
        </w:rPr>
      </w:pPr>
      <w:r>
        <w:rPr>
          <w:rFonts w:hint="eastAsia" w:ascii="宋体" w:hAnsi="宋体" w:cs="仿宋_GB2312"/>
          <w:b/>
          <w:color w:val="FF0000"/>
          <w:kern w:val="0"/>
          <w:szCs w:val="21"/>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14:paraId="20AA7C57">
      <w:pPr>
        <w:autoSpaceDE w:val="0"/>
        <w:autoSpaceDN w:val="0"/>
        <w:adjustRightInd w:val="0"/>
        <w:jc w:val="center"/>
        <w:rPr>
          <w:rFonts w:ascii="宋体" w:hAnsi="宋体" w:cs="宋体"/>
          <w:b/>
          <w:color w:val="FF0000"/>
          <w:kern w:val="0"/>
          <w:szCs w:val="21"/>
        </w:rPr>
      </w:pPr>
      <w:r>
        <w:rPr>
          <w:rFonts w:hint="eastAsia" w:ascii="宋体" w:hAnsi="宋体" w:cs="宋体"/>
          <w:b/>
          <w:color w:val="FF0000"/>
          <w:kern w:val="0"/>
          <w:szCs w:val="21"/>
        </w:rPr>
        <w:t>《供应商参与投标禁止情形》</w:t>
      </w:r>
    </w:p>
    <w:tbl>
      <w:tblPr>
        <w:tblStyle w:val="1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8370"/>
      </w:tblGrid>
      <w:tr w14:paraId="35B6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15CC30CC">
            <w:pPr>
              <w:jc w:val="center"/>
              <w:rPr>
                <w:rFonts w:ascii="宋体" w:hAnsi="宋体" w:cs="宋体"/>
                <w:b/>
                <w:bCs/>
                <w:szCs w:val="21"/>
              </w:rPr>
            </w:pPr>
            <w:r>
              <w:rPr>
                <w:rFonts w:hint="eastAsia" w:ascii="宋体" w:hAnsi="宋体" w:cs="宋体"/>
                <w:b/>
                <w:bCs/>
                <w:szCs w:val="21"/>
              </w:rPr>
              <w:t>序号</w:t>
            </w:r>
          </w:p>
        </w:tc>
        <w:tc>
          <w:tcPr>
            <w:tcW w:w="7898" w:type="dxa"/>
            <w:vAlign w:val="center"/>
          </w:tcPr>
          <w:p w14:paraId="586AF932">
            <w:pPr>
              <w:jc w:val="center"/>
              <w:rPr>
                <w:rFonts w:ascii="宋体" w:hAnsi="宋体" w:cs="宋体"/>
                <w:b/>
                <w:bCs/>
                <w:szCs w:val="21"/>
              </w:rPr>
            </w:pPr>
            <w:r>
              <w:rPr>
                <w:rFonts w:hint="eastAsia" w:ascii="宋体" w:hAnsi="宋体" w:cs="宋体"/>
                <w:b/>
                <w:bCs/>
                <w:color w:val="FF0000"/>
                <w:szCs w:val="21"/>
              </w:rPr>
              <w:t>供应商参与投标禁止情形</w:t>
            </w:r>
          </w:p>
        </w:tc>
      </w:tr>
      <w:tr w14:paraId="3E0E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7003238B">
            <w:pPr>
              <w:jc w:val="center"/>
              <w:rPr>
                <w:rFonts w:ascii="宋体" w:hAnsi="宋体" w:cs="宋体"/>
                <w:szCs w:val="21"/>
              </w:rPr>
            </w:pPr>
            <w:r>
              <w:rPr>
                <w:rFonts w:hint="eastAsia" w:ascii="宋体" w:hAnsi="宋体" w:cs="宋体"/>
                <w:szCs w:val="21"/>
              </w:rPr>
              <w:t>1</w:t>
            </w:r>
          </w:p>
        </w:tc>
        <w:tc>
          <w:tcPr>
            <w:tcW w:w="7898" w:type="dxa"/>
            <w:vAlign w:val="center"/>
          </w:tcPr>
          <w:p w14:paraId="444D6C10">
            <w:pPr>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szCs w:val="21"/>
              </w:rPr>
              <w:t>。</w:t>
            </w:r>
          </w:p>
        </w:tc>
      </w:tr>
      <w:tr w14:paraId="0FAE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56D2261C">
            <w:pPr>
              <w:jc w:val="center"/>
              <w:rPr>
                <w:rFonts w:ascii="宋体" w:hAnsi="宋体" w:cs="宋体"/>
                <w:szCs w:val="21"/>
              </w:rPr>
            </w:pPr>
            <w:r>
              <w:rPr>
                <w:rFonts w:hint="eastAsia" w:ascii="宋体" w:hAnsi="宋体" w:cs="宋体"/>
                <w:szCs w:val="21"/>
              </w:rPr>
              <w:t>2</w:t>
            </w:r>
          </w:p>
        </w:tc>
        <w:tc>
          <w:tcPr>
            <w:tcW w:w="7898" w:type="dxa"/>
            <w:vAlign w:val="center"/>
          </w:tcPr>
          <w:p w14:paraId="2B46C2D7">
            <w:pPr>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szCs w:val="21"/>
              </w:rPr>
              <w:t>。</w:t>
            </w:r>
          </w:p>
        </w:tc>
      </w:tr>
      <w:tr w14:paraId="77A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48E6768D">
            <w:pPr>
              <w:jc w:val="center"/>
              <w:rPr>
                <w:rFonts w:ascii="宋体" w:hAnsi="宋体" w:cs="宋体"/>
                <w:szCs w:val="21"/>
              </w:rPr>
            </w:pPr>
            <w:r>
              <w:rPr>
                <w:rFonts w:hint="eastAsia" w:ascii="宋体" w:hAnsi="宋体" w:cs="宋体"/>
                <w:szCs w:val="21"/>
              </w:rPr>
              <w:t>3</w:t>
            </w:r>
          </w:p>
        </w:tc>
        <w:tc>
          <w:tcPr>
            <w:tcW w:w="7898" w:type="dxa"/>
            <w:vAlign w:val="center"/>
          </w:tcPr>
          <w:p w14:paraId="5C994F9D">
            <w:pPr>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szCs w:val="21"/>
              </w:rPr>
              <w:t>。</w:t>
            </w:r>
          </w:p>
        </w:tc>
      </w:tr>
      <w:tr w14:paraId="37BF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78F2C29B">
            <w:pPr>
              <w:jc w:val="center"/>
              <w:rPr>
                <w:rFonts w:ascii="宋体" w:hAnsi="宋体" w:cs="宋体"/>
                <w:szCs w:val="21"/>
              </w:rPr>
            </w:pPr>
            <w:r>
              <w:rPr>
                <w:rFonts w:hint="eastAsia" w:ascii="宋体" w:hAnsi="宋体" w:cs="宋体"/>
                <w:szCs w:val="21"/>
              </w:rPr>
              <w:t>4</w:t>
            </w:r>
          </w:p>
        </w:tc>
        <w:tc>
          <w:tcPr>
            <w:tcW w:w="7898" w:type="dxa"/>
            <w:vAlign w:val="center"/>
          </w:tcPr>
          <w:p w14:paraId="0DD5F3FF">
            <w:pPr>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szCs w:val="21"/>
              </w:rPr>
              <w:t>，或者使用</w:t>
            </w:r>
            <w:r>
              <w:rPr>
                <w:rFonts w:hint="eastAsia" w:ascii="宋体" w:hAnsi="宋体" w:cs="宋体"/>
                <w:b/>
                <w:bCs/>
                <w:color w:val="FF0000"/>
                <w:szCs w:val="21"/>
              </w:rPr>
              <w:t>同一设备编制</w:t>
            </w:r>
            <w:r>
              <w:rPr>
                <w:rFonts w:hint="eastAsia" w:ascii="宋体" w:hAnsi="宋体" w:cs="宋体"/>
                <w:szCs w:val="21"/>
              </w:rPr>
              <w:t>（“文件制作机器码”“文件创建标识码”一致）。</w:t>
            </w:r>
          </w:p>
        </w:tc>
      </w:tr>
      <w:tr w14:paraId="5402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3806BA36">
            <w:pPr>
              <w:jc w:val="center"/>
              <w:rPr>
                <w:rFonts w:ascii="宋体" w:hAnsi="宋体" w:cs="宋体"/>
                <w:szCs w:val="21"/>
              </w:rPr>
            </w:pPr>
            <w:r>
              <w:rPr>
                <w:rFonts w:hint="eastAsia" w:ascii="宋体" w:hAnsi="宋体" w:cs="宋体"/>
                <w:szCs w:val="21"/>
              </w:rPr>
              <w:t>5</w:t>
            </w:r>
          </w:p>
        </w:tc>
        <w:tc>
          <w:tcPr>
            <w:tcW w:w="7898" w:type="dxa"/>
            <w:vAlign w:val="center"/>
          </w:tcPr>
          <w:p w14:paraId="380BE362">
            <w:pPr>
              <w:jc w:val="left"/>
              <w:rPr>
                <w:rFonts w:ascii="宋体" w:hAnsi="宋体" w:cs="宋体"/>
                <w:szCs w:val="21"/>
              </w:rPr>
            </w:pPr>
            <w:r>
              <w:rPr>
                <w:rFonts w:hint="eastAsia" w:ascii="宋体" w:hAnsi="宋体" w:cs="宋体"/>
                <w:szCs w:val="21"/>
              </w:rPr>
              <w:t>提供</w:t>
            </w:r>
            <w:r>
              <w:rPr>
                <w:rFonts w:hint="eastAsia" w:ascii="宋体" w:hAnsi="宋体" w:cs="宋体"/>
                <w:b/>
                <w:bCs/>
                <w:color w:val="FF0000"/>
                <w:szCs w:val="21"/>
              </w:rPr>
              <w:t>未经出具机构核实</w:t>
            </w:r>
            <w:r>
              <w:rPr>
                <w:rFonts w:hint="eastAsia" w:ascii="宋体" w:hAnsi="宋体" w:cs="宋体"/>
                <w:szCs w:val="21"/>
              </w:rPr>
              <w:t>的虚假的检验检测报告、业绩材料、社保缴纳证明、学历学位证书、职称认证证书等材料。</w:t>
            </w:r>
          </w:p>
        </w:tc>
      </w:tr>
      <w:tr w14:paraId="4EF0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7C0A3791">
            <w:pPr>
              <w:jc w:val="center"/>
              <w:rPr>
                <w:rFonts w:ascii="宋体" w:hAnsi="宋体" w:cs="宋体"/>
                <w:szCs w:val="21"/>
              </w:rPr>
            </w:pPr>
            <w:r>
              <w:rPr>
                <w:rFonts w:hint="eastAsia" w:ascii="宋体" w:hAnsi="宋体" w:cs="宋体"/>
                <w:szCs w:val="21"/>
              </w:rPr>
              <w:t>6</w:t>
            </w:r>
          </w:p>
        </w:tc>
        <w:tc>
          <w:tcPr>
            <w:tcW w:w="7898" w:type="dxa"/>
            <w:vAlign w:val="center"/>
          </w:tcPr>
          <w:p w14:paraId="095F7F01">
            <w:pPr>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E2E5BF3">
      <w:pPr>
        <w:autoSpaceDE w:val="0"/>
        <w:autoSpaceDN w:val="0"/>
        <w:adjustRightInd w:val="0"/>
        <w:jc w:val="center"/>
        <w:rPr>
          <w:rFonts w:ascii="宋体" w:hAnsi="宋体" w:cs="宋体"/>
          <w:b/>
          <w:color w:val="FF0000"/>
          <w:kern w:val="0"/>
          <w:szCs w:val="21"/>
        </w:rPr>
      </w:pPr>
      <w:r>
        <w:rPr>
          <w:rFonts w:hint="eastAsia" w:ascii="宋体" w:hAnsi="宋体" w:cs="宋体"/>
          <w:b/>
          <w:color w:val="FF0000"/>
          <w:kern w:val="0"/>
          <w:szCs w:val="21"/>
        </w:rPr>
        <w:t>《深圳经济特区政府采购条例》</w:t>
      </w:r>
    </w:p>
    <w:p w14:paraId="6F9190DE">
      <w:pPr>
        <w:autoSpaceDE w:val="0"/>
        <w:autoSpaceDN w:val="0"/>
        <w:adjustRightInd w:val="0"/>
        <w:ind w:firstLine="422" w:firstLineChars="200"/>
        <w:jc w:val="left"/>
        <w:rPr>
          <w:rFonts w:ascii="宋体" w:hAnsi="宋体" w:cs="宋体"/>
          <w:color w:val="040404"/>
          <w:szCs w:val="21"/>
        </w:rPr>
      </w:pPr>
      <w:r>
        <w:rPr>
          <w:rStyle w:val="17"/>
          <w:rFonts w:hint="eastAsia" w:ascii="宋体" w:hAnsi="宋体" w:cs="宋体"/>
          <w:color w:val="040404"/>
          <w:szCs w:val="21"/>
        </w:rPr>
        <w:t>第五十七条</w:t>
      </w:r>
      <w:r>
        <w:rPr>
          <w:rFonts w:hint="eastAsia" w:ascii="宋体" w:hAnsi="宋体" w:cs="宋体"/>
          <w:color w:val="040404"/>
          <w:szCs w:val="21"/>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FF92EF9">
      <w:pPr>
        <w:pStyle w:val="12"/>
        <w:shd w:val="clear" w:color="auto" w:fill="FFFFFF"/>
        <w:spacing w:before="0" w:beforeAutospacing="0" w:after="0" w:afterAutospacing="0"/>
        <w:ind w:firstLine="420" w:firstLineChars="200"/>
        <w:rPr>
          <w:rFonts w:hint="default" w:cs="宋体"/>
          <w:color w:val="040404"/>
          <w:sz w:val="21"/>
          <w:szCs w:val="21"/>
        </w:rPr>
      </w:pPr>
      <w:bookmarkStart w:id="2" w:name="_Toc2750"/>
      <w:r>
        <w:rPr>
          <w:rFonts w:cs="宋体"/>
          <w:color w:val="040404"/>
          <w:sz w:val="21"/>
          <w:szCs w:val="21"/>
        </w:rPr>
        <w:t>（一）在采购活动中应当回避而未回避的；</w:t>
      </w:r>
      <w:bookmarkEnd w:id="2"/>
    </w:p>
    <w:p w14:paraId="62977651">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（二）未按照本条例规定签订、履行采购合同，造成严重后果的；</w:t>
      </w:r>
    </w:p>
    <w:p w14:paraId="6E258C33">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（三）隐瞒真实情况，提供虚假资料的；</w:t>
      </w:r>
    </w:p>
    <w:p w14:paraId="3D219C8D">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（四）以非法手段排斥其他供应商参与竞争的；</w:t>
      </w:r>
    </w:p>
    <w:p w14:paraId="209A1A33">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（五）与其他采购参加人串通投标的；</w:t>
      </w:r>
    </w:p>
    <w:p w14:paraId="15C46ABD">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（六）恶意投诉的；</w:t>
      </w:r>
    </w:p>
    <w:p w14:paraId="31AAC0C4">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（七）向采购项目相关人行贿或者提供其他不当利益的；</w:t>
      </w:r>
    </w:p>
    <w:p w14:paraId="7A34F27D">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（八）阻碍、抗拒主管部门监督检查的；</w:t>
      </w:r>
    </w:p>
    <w:p w14:paraId="0C0118D2">
      <w:pPr>
        <w:pStyle w:val="12"/>
        <w:shd w:val="clear" w:color="auto" w:fill="FFFFFF"/>
        <w:spacing w:before="0" w:beforeAutospacing="0" w:after="0" w:afterAutospacing="0"/>
        <w:ind w:firstLine="420" w:firstLineChars="200"/>
        <w:rPr>
          <w:rFonts w:hint="default" w:cs="宋体"/>
          <w:color w:val="040404"/>
          <w:sz w:val="21"/>
          <w:szCs w:val="21"/>
        </w:rPr>
      </w:pPr>
      <w:r>
        <w:rPr>
          <w:rFonts w:cs="宋体"/>
          <w:color w:val="040404"/>
          <w:sz w:val="21"/>
          <w:szCs w:val="21"/>
        </w:rPr>
        <w:t>（九）其他违反本条例规定的行为。</w:t>
      </w:r>
    </w:p>
    <w:p w14:paraId="06A673EA">
      <w:pPr>
        <w:autoSpaceDE w:val="0"/>
        <w:autoSpaceDN w:val="0"/>
        <w:adjustRightInd w:val="0"/>
        <w:jc w:val="center"/>
        <w:rPr>
          <w:rFonts w:ascii="宋体" w:hAnsi="宋体" w:cs="宋体"/>
          <w:b/>
          <w:color w:val="FF0000"/>
          <w:kern w:val="0"/>
          <w:szCs w:val="21"/>
        </w:rPr>
      </w:pPr>
      <w:r>
        <w:rPr>
          <w:rFonts w:hint="eastAsia" w:ascii="宋体" w:hAnsi="宋体" w:cs="宋体"/>
          <w:b/>
          <w:color w:val="FF0000"/>
          <w:kern w:val="0"/>
          <w:szCs w:val="21"/>
        </w:rPr>
        <w:t>《深圳经济特区政府采购条例实施细则》</w:t>
      </w:r>
    </w:p>
    <w:p w14:paraId="1DAB0854">
      <w:pPr>
        <w:keepLines/>
        <w:ind w:firstLine="422" w:firstLineChars="200"/>
        <w:rPr>
          <w:rFonts w:ascii="宋体" w:hAnsi="宋体" w:cs="宋体"/>
          <w:szCs w:val="21"/>
        </w:rPr>
      </w:pPr>
      <w:r>
        <w:rPr>
          <w:rFonts w:hint="eastAsia" w:ascii="宋体" w:hAnsi="宋体" w:cs="宋体"/>
          <w:b/>
          <w:bCs/>
          <w:szCs w:val="21"/>
        </w:rPr>
        <w:t>第七十五条</w:t>
      </w:r>
      <w:r>
        <w:rPr>
          <w:rFonts w:hint="eastAsia" w:ascii="宋体" w:hAnsi="宋体" w:cs="宋体"/>
          <w:szCs w:val="21"/>
        </w:rPr>
        <w:t> 供应商有下列情形的，属于采购条例所称的串通投标行为，按照采购条例第五十七条有关规定处理：</w:t>
      </w:r>
    </w:p>
    <w:p w14:paraId="4E09E5D3">
      <w:pPr>
        <w:keepLines/>
        <w:ind w:firstLine="420" w:firstLineChars="200"/>
        <w:rPr>
          <w:rFonts w:ascii="宋体" w:hAnsi="宋体" w:cs="宋体"/>
          <w:szCs w:val="21"/>
        </w:rPr>
      </w:pPr>
      <w:bookmarkStart w:id="3" w:name="_Toc6281"/>
      <w:r>
        <w:rPr>
          <w:rFonts w:hint="eastAsia" w:ascii="宋体" w:hAnsi="宋体" w:cs="宋体"/>
          <w:szCs w:val="21"/>
        </w:rPr>
        <w:t>（一）投标供应商之间相互约定给予未中标的供应商利益补偿；</w:t>
      </w:r>
      <w:bookmarkEnd w:id="3"/>
    </w:p>
    <w:p w14:paraId="1612236B">
      <w:pPr>
        <w:keepLines/>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46771525">
      <w:pPr>
        <w:keepLines/>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2E0BD2D4">
      <w:pPr>
        <w:keepLines/>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7DFDE624">
      <w:pPr>
        <w:keepLines/>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392DE3D9">
      <w:pPr>
        <w:keepLines/>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49209A44">
      <w:pPr>
        <w:keepLines/>
        <w:ind w:firstLine="420" w:firstLineChars="200"/>
        <w:rPr>
          <w:rFonts w:ascii="宋体" w:hAnsi="宋体" w:cs="宋体"/>
          <w:szCs w:val="21"/>
        </w:rPr>
      </w:pPr>
      <w:bookmarkStart w:id="4" w:name="_Toc31089"/>
      <w:r>
        <w:rPr>
          <w:rFonts w:hint="eastAsia" w:ascii="宋体" w:hAnsi="宋体" w:cs="宋体"/>
          <w:szCs w:val="21"/>
        </w:rPr>
        <w:t>（七）主管部门依照法律、法规认定的其他情形。</w:t>
      </w:r>
      <w:bookmarkEnd w:id="4"/>
    </w:p>
    <w:p w14:paraId="5604C81C">
      <w:pPr>
        <w:keepLines/>
        <w:ind w:firstLine="422" w:firstLineChars="200"/>
        <w:rPr>
          <w:rFonts w:ascii="宋体" w:hAnsi="宋体" w:cs="宋体"/>
          <w:szCs w:val="21"/>
        </w:rPr>
      </w:pPr>
      <w:r>
        <w:rPr>
          <w:rFonts w:hint="eastAsia" w:ascii="宋体" w:hAnsi="宋体" w:cs="宋体"/>
          <w:b/>
          <w:bCs/>
          <w:szCs w:val="21"/>
        </w:rPr>
        <w:t>第七十七条</w:t>
      </w:r>
      <w:r>
        <w:rPr>
          <w:rFonts w:hint="eastAsia" w:ascii="宋体" w:hAnsi="宋体" w:cs="宋体"/>
          <w:szCs w:val="21"/>
        </w:rPr>
        <w:t> 供应商有下列情形之一的，属于隐瞒真实情况，提供虚假资料，按照采购条例第五十七条的有关规定处理：</w:t>
      </w:r>
    </w:p>
    <w:p w14:paraId="732A3081">
      <w:pPr>
        <w:keepLines/>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54000CF5">
      <w:pPr>
        <w:keepLines/>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20749F6C">
      <w:pPr>
        <w:keepLines/>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3629A692">
      <w:pPr>
        <w:keepLines/>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3B0A0405">
      <w:pPr>
        <w:keepLines/>
        <w:ind w:firstLine="420" w:firstLineChars="200"/>
        <w:jc w:val="left"/>
        <w:rPr>
          <w:rFonts w:ascii="宋体" w:hAnsi="宋体" w:cs="宋体"/>
          <w:szCs w:val="21"/>
        </w:rPr>
      </w:pPr>
      <w:r>
        <w:rPr>
          <w:rFonts w:hint="eastAsia" w:ascii="宋体" w:hAnsi="宋体" w:cs="宋体"/>
          <w:szCs w:val="21"/>
        </w:rPr>
        <w:t>（五）其他隐瞒真实情况、提供虚假资料的行为。</w:t>
      </w:r>
    </w:p>
    <w:p w14:paraId="235E85F4">
      <w:pPr>
        <w:keepLines/>
        <w:ind w:firstLine="420" w:firstLineChars="200"/>
        <w:jc w:val="left"/>
        <w:rPr>
          <w:rFonts w:ascii="宋体" w:hAnsi="宋体" w:cs="宋体"/>
          <w:szCs w:val="21"/>
        </w:rPr>
      </w:pPr>
      <w:r>
        <w:rPr>
          <w:rFonts w:hint="eastAsia" w:ascii="宋体" w:hAnsi="宋体" w:cs="宋体"/>
          <w:szCs w:val="21"/>
        </w:rPr>
        <w:t>投标供应商不能提供项目负责人或者主要技术人员的劳动合同、社会保险等劳动关系证明材料的，视为存在前款第（三）项规定的情形。</w:t>
      </w:r>
    </w:p>
    <w:p w14:paraId="135AE261">
      <w:pPr>
        <w:pStyle w:val="2"/>
        <w:rPr>
          <w:rFonts w:ascii="宋体" w:hAnsi="宋体" w:cs="宋体"/>
          <w:sz w:val="21"/>
          <w:szCs w:val="21"/>
        </w:rPr>
      </w:pPr>
    </w:p>
    <w:p w14:paraId="686A179A">
      <w:pPr>
        <w:autoSpaceDE w:val="0"/>
        <w:autoSpaceDN w:val="0"/>
        <w:adjustRightInd w:val="0"/>
        <w:jc w:val="center"/>
        <w:rPr>
          <w:rFonts w:hint="eastAsia" w:ascii="宋体" w:hAnsi="宋体" w:eastAsia="宋体" w:cs="宋体"/>
          <w:b/>
          <w:color w:val="FF0000"/>
          <w:kern w:val="0"/>
          <w:szCs w:val="21"/>
          <w:lang w:eastAsia="zh-CN"/>
        </w:rPr>
      </w:pPr>
      <w:r>
        <w:rPr>
          <w:rFonts w:hint="eastAsia" w:ascii="宋体" w:hAnsi="宋体" w:cs="宋体"/>
          <w:b/>
          <w:color w:val="FF0000"/>
          <w:kern w:val="0"/>
          <w:szCs w:val="21"/>
        </w:rPr>
        <w:t>《中华人民共和国政府采购法实施条例》</w:t>
      </w:r>
    </w:p>
    <w:p w14:paraId="6C20790C">
      <w:pPr>
        <w:ind w:firstLine="422" w:firstLineChars="200"/>
        <w:jc w:val="left"/>
        <w:rPr>
          <w:rFonts w:ascii="宋体" w:hAnsi="宋体" w:cs="宋体"/>
          <w:szCs w:val="21"/>
        </w:rPr>
      </w:pPr>
      <w:bookmarkStart w:id="5" w:name="_Toc10451"/>
      <w:r>
        <w:rPr>
          <w:rFonts w:hint="eastAsia" w:ascii="宋体" w:hAnsi="宋体" w:cs="宋体"/>
          <w:b/>
          <w:bCs/>
          <w:szCs w:val="21"/>
        </w:rPr>
        <w:t>第十八条</w:t>
      </w:r>
      <w:r>
        <w:rPr>
          <w:rFonts w:hint="eastAsia" w:ascii="宋体" w:hAnsi="宋体" w:cs="宋体"/>
          <w:szCs w:val="21"/>
        </w:rPr>
        <w:t>单位负责人为同一人或者存在直接控股、管理关系的不同供应商，不得参加同一合同项下的政府采购活动。</w:t>
      </w:r>
      <w:bookmarkEnd w:id="5"/>
    </w:p>
    <w:p w14:paraId="5FD0FDB5">
      <w:pPr>
        <w:ind w:firstLine="420" w:firstLineChars="200"/>
        <w:jc w:val="left"/>
        <w:rPr>
          <w:rFonts w:ascii="宋体" w:hAnsi="宋体" w:cs="宋体"/>
          <w:szCs w:val="21"/>
        </w:rPr>
      </w:pPr>
      <w:bookmarkStart w:id="6" w:name="_Toc4495"/>
      <w:r>
        <w:rPr>
          <w:rFonts w:hint="eastAsia" w:ascii="宋体" w:hAnsi="宋体" w:cs="宋体"/>
          <w:szCs w:val="21"/>
        </w:rPr>
        <w:t>除单一来源采购项目外，为采购项目提供整体设计、规范编制或者项目管理、监理、检测等服务的供应商，不得再参加该采购项目的其他采购活动。</w:t>
      </w:r>
      <w:bookmarkEnd w:id="6"/>
    </w:p>
    <w:p w14:paraId="545F872A">
      <w:pPr>
        <w:pStyle w:val="2"/>
        <w:rPr>
          <w:rFonts w:ascii="宋体" w:hAnsi="宋体" w:cs="宋体"/>
          <w:sz w:val="21"/>
          <w:szCs w:val="21"/>
        </w:rPr>
      </w:pPr>
    </w:p>
    <w:p w14:paraId="2363D6B3">
      <w:pPr>
        <w:autoSpaceDE w:val="0"/>
        <w:autoSpaceDN w:val="0"/>
        <w:adjustRightInd w:val="0"/>
        <w:jc w:val="center"/>
        <w:rPr>
          <w:rFonts w:hint="eastAsia" w:ascii="宋体" w:hAnsi="宋体" w:eastAsia="宋体" w:cs="宋体"/>
          <w:b/>
          <w:color w:val="FF0000"/>
          <w:kern w:val="0"/>
          <w:szCs w:val="21"/>
          <w:lang w:eastAsia="zh-CN"/>
        </w:rPr>
      </w:pPr>
      <w:r>
        <w:rPr>
          <w:rFonts w:hint="eastAsia" w:ascii="宋体" w:hAnsi="宋体" w:cs="宋体"/>
          <w:b/>
          <w:color w:val="FF0000"/>
          <w:kern w:val="0"/>
          <w:szCs w:val="21"/>
        </w:rPr>
        <w:t>《深圳市财政局关于采购文件增加风险告知有关事项的通知》</w:t>
      </w:r>
    </w:p>
    <w:p w14:paraId="187C019F">
      <w:pPr>
        <w:pStyle w:val="2"/>
        <w:ind w:firstLine="420" w:firstLineChars="200"/>
        <w:rPr>
          <w:rFonts w:ascii="宋体" w:hAnsi="宋体" w:cs="宋体"/>
          <w:sz w:val="21"/>
          <w:szCs w:val="21"/>
        </w:rPr>
      </w:pPr>
      <w:r>
        <w:rPr>
          <w:rFonts w:hint="eastAsia" w:ascii="宋体" w:hAnsi="宋体" w:cs="宋体"/>
          <w:sz w:val="21"/>
          <w:szCs w:val="21"/>
        </w:rPr>
        <w:t>各投标供应商应按要求提交《政府采购违法行为风险知悉确认书》（详见第四章投标文件格式、第二部分资格性、符合性审查文件《九、政府采购违法行为风险知悉确认书》）。该文件由负责人或投标授权代表签字并加盖单位公章后，与投标文件一并提交。</w:t>
      </w:r>
    </w:p>
    <w:p w14:paraId="1DA350A2">
      <w:pPr>
        <w:rPr>
          <w:rFonts w:ascii="宋体" w:hAnsi="宋体" w:cs="宋体"/>
          <w:szCs w:val="21"/>
        </w:rPr>
      </w:pPr>
    </w:p>
    <w:p w14:paraId="18BD8CCC">
      <w:pPr>
        <w:pStyle w:val="20"/>
        <w:ind w:firstLine="420"/>
      </w:pPr>
    </w:p>
    <w:p w14:paraId="5D1D57BD">
      <w:pPr>
        <w:jc w:val="center"/>
        <w:outlineLvl w:val="1"/>
        <w:rPr>
          <w:rFonts w:ascii="黑体" w:hAnsi="黑体" w:eastAsia="黑体" w:cs="黑体"/>
          <w:bCs/>
          <w:sz w:val="44"/>
          <w:szCs w:val="44"/>
        </w:rPr>
      </w:pPr>
      <w:r>
        <w:rPr>
          <w:rFonts w:hint="eastAsia" w:ascii="黑体" w:hAnsi="黑体" w:eastAsia="黑体" w:cs="黑体"/>
          <w:bCs/>
          <w:sz w:val="44"/>
          <w:szCs w:val="44"/>
        </w:rPr>
        <w:br w:type="page"/>
      </w:r>
      <w:bookmarkStart w:id="7" w:name="_Toc27424"/>
      <w:r>
        <w:rPr>
          <w:rFonts w:hint="eastAsia" w:ascii="黑体" w:hAnsi="黑体" w:eastAsia="黑体" w:cs="黑体"/>
          <w:bCs/>
          <w:sz w:val="44"/>
          <w:szCs w:val="44"/>
        </w:rPr>
        <w:t>目录</w:t>
      </w:r>
      <w:bookmarkEnd w:id="7"/>
    </w:p>
    <w:p w14:paraId="7CDE325C"/>
    <w:p w14:paraId="0D476FF6">
      <w:pPr>
        <w:pStyle w:val="10"/>
        <w:tabs>
          <w:tab w:val="right" w:leader="dot" w:pos="9072"/>
        </w:tabs>
        <w:rPr>
          <w:b/>
          <w:bCs/>
          <w:sz w:val="28"/>
          <w:szCs w:val="28"/>
        </w:rPr>
      </w:pPr>
      <w:r>
        <w:rPr>
          <w:sz w:val="28"/>
          <w:szCs w:val="28"/>
        </w:rPr>
        <w:fldChar w:fldCharType="begin"/>
      </w:r>
      <w:r>
        <w:rPr>
          <w:sz w:val="28"/>
          <w:szCs w:val="28"/>
        </w:rPr>
        <w:instrText xml:space="preserve">TOC \o "1-2" \h \u </w:instrText>
      </w:r>
      <w:r>
        <w:rPr>
          <w:sz w:val="28"/>
          <w:szCs w:val="28"/>
        </w:rPr>
        <w:fldChar w:fldCharType="separate"/>
      </w:r>
      <w:r>
        <w:fldChar w:fldCharType="begin"/>
      </w:r>
      <w:r>
        <w:instrText xml:space="preserve"> HYPERLINK \l "_Toc27088" </w:instrText>
      </w:r>
      <w:r>
        <w:fldChar w:fldCharType="separate"/>
      </w:r>
      <w:r>
        <w:rPr>
          <w:rFonts w:hint="eastAsia" w:ascii="宋体" w:hAnsi="宋体" w:cs="宋体"/>
          <w:b/>
          <w:bCs/>
          <w:sz w:val="28"/>
          <w:szCs w:val="28"/>
        </w:rPr>
        <w:t>第一册专用条款</w:t>
      </w:r>
      <w:r>
        <w:rPr>
          <w:b/>
          <w:bCs/>
          <w:sz w:val="28"/>
          <w:szCs w:val="28"/>
        </w:rPr>
        <w:tab/>
      </w:r>
      <w:r>
        <w:rPr>
          <w:b/>
          <w:bCs/>
          <w:sz w:val="28"/>
          <w:szCs w:val="28"/>
        </w:rPr>
        <w:fldChar w:fldCharType="begin"/>
      </w:r>
      <w:r>
        <w:rPr>
          <w:b/>
          <w:bCs/>
          <w:sz w:val="28"/>
          <w:szCs w:val="28"/>
        </w:rPr>
        <w:instrText xml:space="preserve"> PAGEREF _Toc27088 \h </w:instrText>
      </w:r>
      <w:r>
        <w:rPr>
          <w:b/>
          <w:bCs/>
          <w:sz w:val="28"/>
          <w:szCs w:val="28"/>
        </w:rPr>
        <w:fldChar w:fldCharType="separate"/>
      </w:r>
      <w:r>
        <w:rPr>
          <w:b/>
          <w:bCs/>
          <w:sz w:val="28"/>
          <w:szCs w:val="28"/>
        </w:rPr>
        <w:t>4</w:t>
      </w:r>
      <w:r>
        <w:rPr>
          <w:b/>
          <w:bCs/>
          <w:sz w:val="28"/>
          <w:szCs w:val="28"/>
        </w:rPr>
        <w:fldChar w:fldCharType="end"/>
      </w:r>
      <w:r>
        <w:rPr>
          <w:b/>
          <w:bCs/>
          <w:sz w:val="28"/>
          <w:szCs w:val="28"/>
        </w:rPr>
        <w:fldChar w:fldCharType="end"/>
      </w:r>
    </w:p>
    <w:p w14:paraId="4EAB8DB2">
      <w:pPr>
        <w:pStyle w:val="11"/>
        <w:tabs>
          <w:tab w:val="right" w:leader="dot" w:pos="9072"/>
        </w:tabs>
        <w:rPr>
          <w:sz w:val="28"/>
          <w:szCs w:val="28"/>
        </w:rPr>
      </w:pPr>
      <w:r>
        <w:fldChar w:fldCharType="begin"/>
      </w:r>
      <w:r>
        <w:instrText xml:space="preserve"> HYPERLINK \l "_Toc20292" </w:instrText>
      </w:r>
      <w:r>
        <w:fldChar w:fldCharType="separate"/>
      </w:r>
      <w:r>
        <w:rPr>
          <w:rFonts w:hint="eastAsia" w:ascii="宋体" w:hAnsi="宋体" w:cs="宋体"/>
          <w:bCs/>
          <w:sz w:val="28"/>
          <w:szCs w:val="28"/>
        </w:rPr>
        <w:t>第一章投标邀请书</w:t>
      </w:r>
      <w:r>
        <w:rPr>
          <w:sz w:val="28"/>
          <w:szCs w:val="28"/>
        </w:rPr>
        <w:tab/>
      </w:r>
      <w:r>
        <w:rPr>
          <w:sz w:val="28"/>
          <w:szCs w:val="28"/>
        </w:rPr>
        <w:fldChar w:fldCharType="begin"/>
      </w:r>
      <w:r>
        <w:rPr>
          <w:sz w:val="28"/>
          <w:szCs w:val="28"/>
        </w:rPr>
        <w:instrText xml:space="preserve"> PAGEREF _Toc20292 \h </w:instrText>
      </w:r>
      <w:r>
        <w:rPr>
          <w:sz w:val="28"/>
          <w:szCs w:val="28"/>
        </w:rPr>
        <w:fldChar w:fldCharType="separate"/>
      </w:r>
      <w:r>
        <w:rPr>
          <w:sz w:val="28"/>
          <w:szCs w:val="28"/>
        </w:rPr>
        <w:t>5</w:t>
      </w:r>
      <w:r>
        <w:rPr>
          <w:sz w:val="28"/>
          <w:szCs w:val="28"/>
        </w:rPr>
        <w:fldChar w:fldCharType="end"/>
      </w:r>
      <w:r>
        <w:rPr>
          <w:sz w:val="28"/>
          <w:szCs w:val="28"/>
        </w:rPr>
        <w:fldChar w:fldCharType="end"/>
      </w:r>
    </w:p>
    <w:p w14:paraId="75954C4F">
      <w:pPr>
        <w:pStyle w:val="11"/>
        <w:tabs>
          <w:tab w:val="right" w:leader="dot" w:pos="9072"/>
        </w:tabs>
        <w:rPr>
          <w:sz w:val="28"/>
          <w:szCs w:val="28"/>
        </w:rPr>
      </w:pPr>
      <w:r>
        <w:fldChar w:fldCharType="begin"/>
      </w:r>
      <w:r>
        <w:instrText xml:space="preserve"> HYPERLINK \l "_Toc1154" </w:instrText>
      </w:r>
      <w:r>
        <w:fldChar w:fldCharType="separate"/>
      </w:r>
      <w:r>
        <w:rPr>
          <w:rFonts w:hint="eastAsia" w:ascii="宋体" w:hAnsi="宋体" w:cs="宋体"/>
          <w:bCs/>
          <w:sz w:val="28"/>
          <w:szCs w:val="28"/>
        </w:rPr>
        <w:t>第二章投标人须知前附表</w:t>
      </w:r>
      <w:r>
        <w:rPr>
          <w:sz w:val="28"/>
          <w:szCs w:val="28"/>
        </w:rPr>
        <w:tab/>
      </w:r>
      <w:r>
        <w:rPr>
          <w:sz w:val="28"/>
          <w:szCs w:val="28"/>
        </w:rPr>
        <w:fldChar w:fldCharType="begin"/>
      </w:r>
      <w:r>
        <w:rPr>
          <w:sz w:val="28"/>
          <w:szCs w:val="28"/>
        </w:rPr>
        <w:instrText xml:space="preserve"> PAGEREF _Toc1154 \h </w:instrText>
      </w:r>
      <w:r>
        <w:rPr>
          <w:sz w:val="28"/>
          <w:szCs w:val="28"/>
        </w:rPr>
        <w:fldChar w:fldCharType="separate"/>
      </w:r>
      <w:r>
        <w:rPr>
          <w:sz w:val="28"/>
          <w:szCs w:val="28"/>
        </w:rPr>
        <w:t>8</w:t>
      </w:r>
      <w:r>
        <w:rPr>
          <w:sz w:val="28"/>
          <w:szCs w:val="28"/>
        </w:rPr>
        <w:fldChar w:fldCharType="end"/>
      </w:r>
      <w:r>
        <w:rPr>
          <w:sz w:val="28"/>
          <w:szCs w:val="28"/>
        </w:rPr>
        <w:fldChar w:fldCharType="end"/>
      </w:r>
    </w:p>
    <w:p w14:paraId="5691E45C">
      <w:pPr>
        <w:pStyle w:val="11"/>
        <w:tabs>
          <w:tab w:val="right" w:leader="dot" w:pos="9072"/>
        </w:tabs>
        <w:rPr>
          <w:sz w:val="28"/>
          <w:szCs w:val="28"/>
        </w:rPr>
      </w:pPr>
      <w:r>
        <w:fldChar w:fldCharType="begin"/>
      </w:r>
      <w:r>
        <w:instrText xml:space="preserve"> HYPERLINK \l "_Toc14508" </w:instrText>
      </w:r>
      <w:r>
        <w:fldChar w:fldCharType="separate"/>
      </w:r>
      <w:r>
        <w:rPr>
          <w:rFonts w:hint="eastAsia" w:ascii="宋体" w:hAnsi="宋体" w:cs="宋体"/>
          <w:bCs/>
          <w:sz w:val="28"/>
          <w:szCs w:val="28"/>
        </w:rPr>
        <w:t>第三章用户需求书</w:t>
      </w:r>
      <w:r>
        <w:rPr>
          <w:sz w:val="28"/>
          <w:szCs w:val="28"/>
        </w:rPr>
        <w:tab/>
      </w:r>
      <w:r>
        <w:rPr>
          <w:sz w:val="28"/>
          <w:szCs w:val="28"/>
        </w:rPr>
        <w:fldChar w:fldCharType="begin"/>
      </w:r>
      <w:r>
        <w:rPr>
          <w:sz w:val="28"/>
          <w:szCs w:val="28"/>
        </w:rPr>
        <w:instrText xml:space="preserve"> PAGEREF _Toc14508 \h </w:instrText>
      </w:r>
      <w:r>
        <w:rPr>
          <w:sz w:val="28"/>
          <w:szCs w:val="28"/>
        </w:rPr>
        <w:fldChar w:fldCharType="separate"/>
      </w:r>
      <w:r>
        <w:rPr>
          <w:sz w:val="28"/>
          <w:szCs w:val="28"/>
        </w:rPr>
        <w:t>15</w:t>
      </w:r>
      <w:r>
        <w:rPr>
          <w:sz w:val="28"/>
          <w:szCs w:val="28"/>
        </w:rPr>
        <w:fldChar w:fldCharType="end"/>
      </w:r>
      <w:r>
        <w:rPr>
          <w:sz w:val="28"/>
          <w:szCs w:val="28"/>
        </w:rPr>
        <w:fldChar w:fldCharType="end"/>
      </w:r>
    </w:p>
    <w:p w14:paraId="06D5180A">
      <w:pPr>
        <w:pStyle w:val="2"/>
        <w:spacing w:line="312" w:lineRule="auto"/>
      </w:pPr>
      <w:r>
        <w:rPr>
          <w:sz w:val="28"/>
          <w:szCs w:val="28"/>
        </w:rPr>
        <w:fldChar w:fldCharType="end"/>
      </w:r>
    </w:p>
    <w:p w14:paraId="73745D0A">
      <w:pPr>
        <w:widowControl/>
        <w:autoSpaceDE w:val="0"/>
        <w:autoSpaceDN w:val="0"/>
        <w:spacing w:line="400" w:lineRule="exact"/>
        <w:ind w:right="-36"/>
        <w:jc w:val="center"/>
        <w:textAlignment w:val="bottom"/>
        <w:rPr>
          <w:rFonts w:ascii="Arial" w:hAnsi="Arial" w:cs="Arial"/>
          <w:b/>
          <w:sz w:val="32"/>
          <w:szCs w:val="32"/>
        </w:rPr>
      </w:pPr>
    </w:p>
    <w:p w14:paraId="34623898">
      <w:pPr>
        <w:widowControl/>
        <w:autoSpaceDE w:val="0"/>
        <w:autoSpaceDN w:val="0"/>
        <w:spacing w:line="400" w:lineRule="exact"/>
        <w:ind w:right="-36"/>
        <w:jc w:val="center"/>
        <w:textAlignment w:val="bottom"/>
        <w:rPr>
          <w:rFonts w:ascii="Arial" w:hAnsi="Arial" w:cs="Arial"/>
          <w:b/>
          <w:sz w:val="32"/>
          <w:szCs w:val="32"/>
        </w:rPr>
      </w:pPr>
      <w:r>
        <w:rPr>
          <w:rFonts w:hint="eastAsia" w:ascii="Arial" w:hAnsi="Arial" w:cs="Arial"/>
          <w:b/>
          <w:sz w:val="32"/>
          <w:szCs w:val="32"/>
        </w:rPr>
        <w:t>温馨提示</w:t>
      </w:r>
    </w:p>
    <w:p w14:paraId="32301CEB">
      <w:pPr>
        <w:widowControl/>
        <w:numPr>
          <w:ilvl w:val="0"/>
          <w:numId w:val="1"/>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投标人务必认真阅读招标文件及相关澄清、修改、补充等变更通知（如有）的所有内容，并按照招标文件的要求及相关格式要求编制投标文件；</w:t>
      </w:r>
    </w:p>
    <w:p w14:paraId="2875F777">
      <w:pPr>
        <w:widowControl/>
        <w:numPr>
          <w:ilvl w:val="0"/>
          <w:numId w:val="1"/>
        </w:numPr>
        <w:autoSpaceDE w:val="0"/>
        <w:autoSpaceDN w:val="0"/>
        <w:spacing w:line="400" w:lineRule="exact"/>
        <w:ind w:right="-36"/>
        <w:jc w:val="left"/>
        <w:textAlignment w:val="bottom"/>
        <w:rPr>
          <w:rFonts w:ascii="宋体" w:hAnsi="宋体" w:cs="宋体"/>
          <w:bCs/>
          <w:sz w:val="24"/>
        </w:rPr>
      </w:pPr>
      <w:r>
        <w:rPr>
          <w:rFonts w:hint="eastAsia" w:ascii="宋体" w:hAnsi="宋体" w:cs="宋体"/>
          <w:bCs/>
          <w:sz w:val="24"/>
        </w:rPr>
        <w:t>投标人如对招标文件及相关澄清、修改、补充等变更通知（如有）的内容有疑问的，请来电咨询，0755-</w:t>
      </w:r>
      <w:r>
        <w:rPr>
          <w:rFonts w:hint="eastAsia" w:ascii="宋体" w:hAnsi="宋体" w:cs="宋体"/>
          <w:bCs/>
          <w:sz w:val="24"/>
          <w:lang w:val="en-US" w:eastAsia="zh-CN"/>
        </w:rPr>
        <w:t>66618168</w:t>
      </w:r>
      <w:r>
        <w:rPr>
          <w:rFonts w:hint="eastAsia" w:ascii="宋体" w:hAnsi="宋体" w:cs="宋体"/>
          <w:bCs/>
          <w:sz w:val="24"/>
        </w:rPr>
        <w:t>转1</w:t>
      </w:r>
      <w:r>
        <w:rPr>
          <w:rFonts w:hint="eastAsia" w:ascii="宋体" w:hAnsi="宋体" w:cs="宋体"/>
          <w:bCs/>
          <w:sz w:val="24"/>
          <w:lang w:val="en-US" w:eastAsia="zh-CN"/>
        </w:rPr>
        <w:t>4076</w:t>
      </w:r>
      <w:r>
        <w:rPr>
          <w:rFonts w:hint="eastAsia" w:ascii="宋体" w:hAnsi="宋体" w:cs="宋体"/>
          <w:bCs/>
          <w:sz w:val="24"/>
        </w:rPr>
        <w:t>，</w:t>
      </w:r>
      <w:r>
        <w:rPr>
          <w:rFonts w:hint="eastAsia" w:ascii="宋体" w:hAnsi="宋体" w:cs="宋体"/>
          <w:bCs/>
          <w:sz w:val="24"/>
          <w:lang w:eastAsia="zh-CN"/>
        </w:rPr>
        <w:t>刘</w:t>
      </w:r>
      <w:r>
        <w:rPr>
          <w:rFonts w:hint="eastAsia" w:ascii="宋体" w:hAnsi="宋体" w:cs="宋体"/>
          <w:bCs/>
          <w:sz w:val="24"/>
        </w:rPr>
        <w:t>工；</w:t>
      </w:r>
    </w:p>
    <w:p w14:paraId="01BBDCDF">
      <w:pPr>
        <w:widowControl/>
        <w:numPr>
          <w:ilvl w:val="0"/>
          <w:numId w:val="1"/>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投标人递交投标文件前务必仔细检查投标文件的份数</w:t>
      </w:r>
      <w:r>
        <w:rPr>
          <w:rFonts w:hint="eastAsia" w:ascii="宋体" w:hAnsi="宋体" w:cs="宋体"/>
          <w:b/>
          <w:sz w:val="24"/>
        </w:rPr>
        <w:t>（1份投标文件正本，5份投标文件副本，1份开标文件，1份投标文件电子文档）</w:t>
      </w:r>
      <w:r>
        <w:rPr>
          <w:rFonts w:hint="eastAsia" w:ascii="宋体" w:hAnsi="宋体" w:cs="宋体"/>
          <w:bCs/>
          <w:sz w:val="24"/>
        </w:rPr>
        <w:t>以及投标文件是否密封完好。</w:t>
      </w:r>
    </w:p>
    <w:p w14:paraId="0EA57CAE">
      <w:pPr>
        <w:widowControl/>
        <w:numPr>
          <w:ilvl w:val="0"/>
          <w:numId w:val="1"/>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投标人代表务必须在规定的地址及时间递交密封完好的投标文件，否则其投标将可能被拒绝；</w:t>
      </w:r>
    </w:p>
    <w:p w14:paraId="621004B4">
      <w:pPr>
        <w:widowControl/>
        <w:numPr>
          <w:ilvl w:val="0"/>
          <w:numId w:val="1"/>
        </w:numPr>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投标人代表在递交投标文件及参加开标会时，需随身带上身份证原件或其它能证明其身份的证件，以便开标时核查身份。</w:t>
      </w:r>
    </w:p>
    <w:p w14:paraId="3AA423E4">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（6）投标人务必了解清楚本项目的所有资格性及符合性的审查内容和综合评审的内容，并按要求提供相关有效清晰的资料作为评审依据。</w:t>
      </w:r>
    </w:p>
    <w:p w14:paraId="0329D6AC">
      <w:pPr>
        <w:widowControl/>
        <w:tabs>
          <w:tab w:val="left" w:pos="8640"/>
        </w:tabs>
        <w:autoSpaceDE w:val="0"/>
        <w:autoSpaceDN w:val="0"/>
        <w:adjustRightInd w:val="0"/>
        <w:snapToGrid w:val="0"/>
        <w:spacing w:line="400" w:lineRule="exact"/>
        <w:ind w:right="-34"/>
        <w:jc w:val="left"/>
        <w:textAlignment w:val="bottom"/>
        <w:rPr>
          <w:rFonts w:ascii="宋体" w:hAnsi="宋体" w:cs="宋体"/>
          <w:bCs/>
          <w:sz w:val="24"/>
        </w:rPr>
      </w:pPr>
      <w:r>
        <w:rPr>
          <w:rFonts w:hint="eastAsia" w:ascii="宋体" w:hAnsi="宋体" w:cs="宋体"/>
          <w:bCs/>
          <w:sz w:val="24"/>
        </w:rPr>
        <w:t>（7）编制投标文件时，各投标人务必检查确认投标文件的签字、盖章、日期是否符合招标文件要求，并保证投标文件目录清晰准确；</w:t>
      </w:r>
    </w:p>
    <w:p w14:paraId="4B95E29D">
      <w:pPr>
        <w:widowControl/>
        <w:tabs>
          <w:tab w:val="left" w:pos="8640"/>
        </w:tabs>
        <w:autoSpaceDE w:val="0"/>
        <w:autoSpaceDN w:val="0"/>
        <w:adjustRightInd w:val="0"/>
        <w:snapToGrid w:val="0"/>
        <w:spacing w:line="400" w:lineRule="exact"/>
        <w:ind w:right="-34"/>
        <w:jc w:val="left"/>
        <w:textAlignment w:val="bottom"/>
        <w:rPr>
          <w:rFonts w:ascii="Arial" w:hAnsi="Arial" w:cs="Arial"/>
          <w:b/>
          <w:bCs/>
          <w:sz w:val="24"/>
        </w:rPr>
      </w:pPr>
      <w:r>
        <w:rPr>
          <w:rFonts w:hint="eastAsia" w:ascii="宋体" w:hAnsi="宋体" w:cs="宋体"/>
          <w:bCs/>
          <w:sz w:val="24"/>
        </w:rPr>
        <w:t>（8）温馨提示不作为招标文件的一部分。</w:t>
      </w:r>
      <w:r>
        <w:rPr>
          <w:rFonts w:hint="eastAsia" w:ascii="Arial" w:hAnsi="Arial" w:cs="Arial"/>
          <w:sz w:val="24"/>
        </w:rPr>
        <w:t>如与招标文件有矛盾的地方，以招标文件的要求为准。</w:t>
      </w:r>
    </w:p>
    <w:p w14:paraId="78BCBCB4">
      <w:pPr>
        <w:rPr>
          <w:rFonts w:ascii="宋体" w:hAnsi="宋体" w:cs="宋体"/>
          <w:b/>
          <w:sz w:val="84"/>
          <w:szCs w:val="84"/>
        </w:rPr>
      </w:pPr>
      <w:r>
        <w:br w:type="page"/>
      </w:r>
    </w:p>
    <w:p w14:paraId="15040D76">
      <w:pPr>
        <w:jc w:val="center"/>
        <w:rPr>
          <w:rFonts w:ascii="宋体" w:hAnsi="宋体" w:cs="宋体"/>
          <w:b/>
          <w:sz w:val="84"/>
          <w:szCs w:val="84"/>
        </w:rPr>
      </w:pPr>
    </w:p>
    <w:p w14:paraId="2453A3D3">
      <w:pPr>
        <w:pStyle w:val="5"/>
      </w:pPr>
    </w:p>
    <w:p w14:paraId="48C21A0B">
      <w:pPr>
        <w:jc w:val="center"/>
        <w:rPr>
          <w:rFonts w:ascii="宋体" w:hAnsi="宋体" w:cs="宋体"/>
          <w:b/>
          <w:sz w:val="84"/>
          <w:szCs w:val="84"/>
        </w:rPr>
      </w:pPr>
    </w:p>
    <w:p w14:paraId="27FC21FA">
      <w:pPr>
        <w:rPr>
          <w:rFonts w:ascii="宋体" w:hAnsi="宋体" w:cs="宋体"/>
          <w:b/>
          <w:sz w:val="84"/>
          <w:szCs w:val="84"/>
        </w:rPr>
      </w:pPr>
    </w:p>
    <w:p w14:paraId="788176A2">
      <w:pPr>
        <w:pStyle w:val="2"/>
        <w:rPr>
          <w:rFonts w:ascii="宋体" w:hAnsi="宋体" w:cs="宋体"/>
          <w:b/>
          <w:sz w:val="84"/>
          <w:szCs w:val="84"/>
        </w:rPr>
      </w:pPr>
    </w:p>
    <w:p w14:paraId="3842779C"/>
    <w:p w14:paraId="0BEB3561">
      <w:pPr>
        <w:jc w:val="center"/>
        <w:outlineLvl w:val="0"/>
        <w:rPr>
          <w:rFonts w:ascii="宋体" w:hAnsi="宋体" w:cs="宋体"/>
          <w:b/>
          <w:sz w:val="84"/>
          <w:szCs w:val="84"/>
        </w:rPr>
      </w:pPr>
      <w:bookmarkStart w:id="8" w:name="_Toc16427"/>
      <w:bookmarkStart w:id="9" w:name="_Toc27088"/>
      <w:r>
        <w:rPr>
          <w:rFonts w:hint="eastAsia" w:ascii="宋体" w:hAnsi="宋体" w:cs="宋体"/>
          <w:b/>
          <w:sz w:val="84"/>
          <w:szCs w:val="84"/>
        </w:rPr>
        <w:t>第一册专用条款</w:t>
      </w:r>
      <w:bookmarkEnd w:id="8"/>
      <w:bookmarkEnd w:id="9"/>
    </w:p>
    <w:p w14:paraId="3BEAD698">
      <w:pPr>
        <w:jc w:val="center"/>
        <w:outlineLvl w:val="1"/>
        <w:rPr>
          <w:rFonts w:ascii="宋体" w:hAnsi="宋体" w:cs="宋体"/>
          <w:b/>
          <w:bCs/>
          <w:sz w:val="36"/>
          <w:szCs w:val="36"/>
        </w:rPr>
      </w:pPr>
      <w:r>
        <w:rPr>
          <w:rFonts w:hint="eastAsia" w:ascii="宋体" w:hAnsi="宋体" w:cs="宋体"/>
          <w:b/>
          <w:bCs/>
          <w:sz w:val="36"/>
          <w:szCs w:val="36"/>
        </w:rPr>
        <w:br w:type="page"/>
      </w:r>
      <w:bookmarkStart w:id="10" w:name="_Toc20292"/>
      <w:r>
        <w:rPr>
          <w:rFonts w:hint="eastAsia" w:ascii="宋体" w:hAnsi="宋体" w:cs="宋体"/>
          <w:b/>
          <w:bCs/>
          <w:sz w:val="36"/>
          <w:szCs w:val="36"/>
        </w:rPr>
        <w:t>第一章投标邀请书</w:t>
      </w:r>
      <w:bookmarkEnd w:id="10"/>
    </w:p>
    <w:p w14:paraId="5670036C">
      <w:pPr>
        <w:widowControl/>
        <w:shd w:val="clear" w:color="auto" w:fill="FFFFFF"/>
        <w:spacing w:before="240" w:beforeLines="100" w:line="312" w:lineRule="auto"/>
        <w:ind w:firstLine="480" w:firstLineChars="200"/>
        <w:jc w:val="right"/>
        <w:rPr>
          <w:rFonts w:ascii="宋体" w:hAnsi="宋体" w:cs="宋体"/>
          <w:kern w:val="0"/>
          <w:sz w:val="24"/>
        </w:rPr>
      </w:pPr>
      <w:bookmarkStart w:id="11" w:name="OLE_LINK1"/>
    </w:p>
    <w:bookmarkEnd w:id="11"/>
    <w:p w14:paraId="02D2B742">
      <w:pPr>
        <w:widowControl/>
        <w:shd w:val="clear" w:color="auto" w:fill="FFFFFF"/>
        <w:ind w:firstLine="480" w:firstLineChars="200"/>
        <w:rPr>
          <w:rFonts w:ascii="宋体" w:hAnsi="宋体" w:cs="宋体"/>
          <w:kern w:val="0"/>
          <w:sz w:val="24"/>
        </w:rPr>
      </w:pPr>
      <w:r>
        <w:rPr>
          <w:rFonts w:hint="eastAsia" w:ascii="宋体" w:hAnsi="宋体" w:cs="宋体"/>
          <w:kern w:val="0"/>
          <w:sz w:val="24"/>
        </w:rPr>
        <w:t>参照国家和深圳市有关招标采购的相关法律法规及政策，欢迎有相应资质和能力的潜在供应商参加本次采购活动。</w:t>
      </w:r>
    </w:p>
    <w:p w14:paraId="2701781F">
      <w:pPr>
        <w:widowControl/>
        <w:shd w:val="clear" w:color="auto" w:fill="FFFFFF"/>
        <w:outlineLvl w:val="2"/>
        <w:rPr>
          <w:rFonts w:ascii="宋体" w:hAnsi="宋体" w:cs="宋体"/>
          <w:b/>
          <w:bCs/>
          <w:kern w:val="0"/>
          <w:sz w:val="24"/>
        </w:rPr>
      </w:pPr>
      <w:bookmarkStart w:id="12" w:name="_Toc19680"/>
      <w:r>
        <w:rPr>
          <w:rFonts w:hint="eastAsia" w:ascii="宋体" w:hAnsi="宋体" w:cs="宋体"/>
          <w:b/>
          <w:bCs/>
          <w:kern w:val="0"/>
          <w:sz w:val="24"/>
        </w:rPr>
        <w:t>一、项目概况</w:t>
      </w:r>
      <w:bookmarkEnd w:id="12"/>
    </w:p>
    <w:p w14:paraId="6756A229">
      <w:pPr>
        <w:widowControl/>
        <w:shd w:val="clear" w:color="auto" w:fill="FFFFFF"/>
        <w:ind w:firstLine="480" w:firstLineChars="200"/>
        <w:rPr>
          <w:rFonts w:ascii="宋体" w:hAnsi="宋体" w:cs="宋体"/>
          <w:kern w:val="0"/>
          <w:sz w:val="24"/>
        </w:rPr>
      </w:pPr>
      <w:r>
        <w:rPr>
          <w:rFonts w:hint="eastAsia" w:ascii="宋体" w:hAnsi="宋体" w:cs="宋体"/>
          <w:kern w:val="0"/>
          <w:sz w:val="24"/>
          <w:lang w:eastAsia="zh-CN"/>
        </w:rPr>
        <w:t>2026年度招标代理机构服务项目</w:t>
      </w:r>
      <w:r>
        <w:rPr>
          <w:rFonts w:hint="eastAsia" w:ascii="宋体" w:hAnsi="宋体" w:cs="宋体"/>
          <w:kern w:val="0"/>
          <w:sz w:val="24"/>
        </w:rPr>
        <w:t>的潜在投标人应登录“</w:t>
      </w:r>
      <w:r>
        <w:rPr>
          <w:rFonts w:hint="eastAsia" w:ascii="宋体" w:hAnsi="宋体" w:cs="宋体"/>
          <w:kern w:val="0"/>
          <w:sz w:val="24"/>
          <w:highlight w:val="none"/>
          <w:lang w:eastAsia="zh-CN"/>
        </w:rPr>
        <w:t>中国医学科学院肿瘤医院深圳医院官网（http://www.cicams-sz.org.cn/wygk/yygg/ztbxx/）</w:t>
      </w:r>
      <w:r>
        <w:rPr>
          <w:rFonts w:hint="eastAsia" w:ascii="宋体" w:hAnsi="宋体" w:cs="宋体"/>
          <w:kern w:val="0"/>
          <w:sz w:val="24"/>
          <w:highlight w:val="none"/>
        </w:rPr>
        <w:t>”下载</w:t>
      </w:r>
      <w:r>
        <w:rPr>
          <w:rFonts w:hint="eastAsia" w:ascii="宋体" w:hAnsi="宋体" w:cs="宋体"/>
          <w:kern w:val="0"/>
          <w:sz w:val="24"/>
        </w:rPr>
        <w:t>获取招标文件。</w:t>
      </w:r>
    </w:p>
    <w:p w14:paraId="5FC9BCB4">
      <w:pPr>
        <w:widowControl/>
        <w:shd w:val="clear" w:color="auto" w:fill="FFFFFF"/>
        <w:outlineLvl w:val="2"/>
        <w:rPr>
          <w:rFonts w:ascii="宋体" w:hAnsi="宋体" w:cs="宋体"/>
          <w:b/>
          <w:bCs/>
          <w:kern w:val="0"/>
          <w:sz w:val="24"/>
        </w:rPr>
      </w:pPr>
      <w:bookmarkStart w:id="13" w:name="_Toc28359002"/>
      <w:bookmarkStart w:id="14" w:name="_Toc28359079"/>
      <w:bookmarkStart w:id="15" w:name="_Toc35393621"/>
      <w:bookmarkStart w:id="16" w:name="_Toc15473"/>
      <w:bookmarkStart w:id="17" w:name="_Toc35393790"/>
      <w:bookmarkStart w:id="18" w:name="_Hlk24379207"/>
      <w:r>
        <w:rPr>
          <w:rFonts w:hint="eastAsia" w:ascii="宋体" w:hAnsi="宋体" w:cs="宋体"/>
          <w:b/>
          <w:bCs/>
          <w:kern w:val="0"/>
          <w:sz w:val="24"/>
        </w:rPr>
        <w:t>二、项目基本情况</w:t>
      </w:r>
      <w:bookmarkEnd w:id="13"/>
      <w:bookmarkEnd w:id="14"/>
      <w:bookmarkEnd w:id="15"/>
      <w:bookmarkEnd w:id="16"/>
      <w:bookmarkEnd w:id="17"/>
    </w:p>
    <w:p w14:paraId="08263DD1">
      <w:pPr>
        <w:ind w:firstLine="480" w:firstLineChars="200"/>
        <w:rPr>
          <w:rFonts w:hint="eastAsia" w:ascii="宋体" w:hAnsi="宋体" w:eastAsia="宋体" w:cs="宋体"/>
          <w:color w:val="FF0000"/>
          <w:sz w:val="24"/>
          <w:lang w:eastAsia="zh-CN"/>
        </w:rPr>
      </w:pPr>
      <w:r>
        <w:rPr>
          <w:rFonts w:hint="eastAsia" w:ascii="宋体" w:hAnsi="宋体" w:cs="宋体"/>
          <w:sz w:val="24"/>
        </w:rPr>
        <w:t>1.项目编号：</w:t>
      </w:r>
      <w:r>
        <w:rPr>
          <w:rFonts w:hint="eastAsia" w:ascii="宋体" w:hAnsi="宋体" w:cs="宋体"/>
          <w:sz w:val="24"/>
          <w:lang w:eastAsia="zh-CN"/>
        </w:rPr>
        <w:t>QTFW-202603007</w:t>
      </w:r>
    </w:p>
    <w:p w14:paraId="034CD4C3">
      <w:pPr>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2026年度招标代理机构服务项目</w:t>
      </w:r>
    </w:p>
    <w:bookmarkEnd w:id="18"/>
    <w:p w14:paraId="501007C2">
      <w:pPr>
        <w:ind w:firstLine="480" w:firstLineChars="200"/>
        <w:rPr>
          <w:rFonts w:hint="default" w:ascii="宋体" w:hAnsi="宋体" w:eastAsia="宋体" w:cs="宋体"/>
          <w:sz w:val="24"/>
          <w:highlight w:val="yellow"/>
          <w:lang w:val="en-US" w:eastAsia="zh-CN"/>
        </w:rPr>
      </w:pPr>
      <w:r>
        <w:rPr>
          <w:rFonts w:hint="eastAsia" w:ascii="宋体" w:hAnsi="宋体" w:cs="宋体"/>
          <w:sz w:val="24"/>
          <w:highlight w:val="yellow"/>
        </w:rPr>
        <w:t>3.</w:t>
      </w:r>
      <w:r>
        <w:rPr>
          <w:rFonts w:hint="eastAsia" w:ascii="宋体" w:hAnsi="宋体" w:cs="宋体"/>
          <w:sz w:val="24"/>
          <w:highlight w:val="yellow"/>
          <w:lang w:eastAsia="zh-CN"/>
        </w:rPr>
        <w:t>根据《深圳市财政委员会关于规范深圳市社会采购代理机构管理有关事项的补充通知》的指导和规定的收费标准，招标代理服务费按公式计算后收费金额</w:t>
      </w:r>
      <w:r>
        <w:rPr>
          <w:rFonts w:hint="eastAsia" w:ascii="宋体" w:hAnsi="宋体" w:cs="宋体"/>
          <w:sz w:val="24"/>
          <w:highlight w:val="yellow"/>
          <w:lang w:val="en-US" w:eastAsia="zh-CN"/>
        </w:rPr>
        <w:t>*服务费折扣率收取。我院预算20万及以上的项目，将委托院外代理机机构进行公开招标。</w:t>
      </w:r>
    </w:p>
    <w:p w14:paraId="21E4541C">
      <w:pPr>
        <w:ind w:firstLine="480" w:firstLineChars="200"/>
        <w:rPr>
          <w:rFonts w:ascii="宋体" w:hAnsi="宋体" w:cs="宋体"/>
          <w:sz w:val="24"/>
          <w:highlight w:val="yellow"/>
        </w:rPr>
      </w:pPr>
      <w:r>
        <w:rPr>
          <w:rFonts w:hint="eastAsia" w:ascii="宋体" w:hAnsi="宋体" w:cs="宋体"/>
          <w:sz w:val="24"/>
          <w:highlight w:val="yellow"/>
        </w:rPr>
        <w:t>4.</w:t>
      </w:r>
      <w:r>
        <w:rPr>
          <w:rFonts w:hint="eastAsia" w:ascii="宋体" w:hAnsi="宋体" w:cs="宋体"/>
          <w:sz w:val="24"/>
          <w:highlight w:val="yellow"/>
          <w:lang w:val="en-US" w:eastAsia="zh-CN"/>
        </w:rPr>
        <w:t>服务费折扣率</w:t>
      </w:r>
      <w:r>
        <w:rPr>
          <w:rFonts w:hint="eastAsia" w:ascii="宋体" w:hAnsi="宋体" w:cs="宋体"/>
          <w:sz w:val="24"/>
          <w:highlight w:val="yellow"/>
        </w:rPr>
        <w:t>：</w:t>
      </w:r>
      <w:r>
        <w:rPr>
          <w:rFonts w:hint="eastAsia" w:ascii="宋体" w:hAnsi="宋体" w:cs="宋体"/>
          <w:sz w:val="24"/>
          <w:highlight w:val="yellow"/>
          <w:lang w:val="en-US" w:eastAsia="zh-CN"/>
        </w:rPr>
        <w:t>100%≥服务费折扣率＞0%</w:t>
      </w:r>
    </w:p>
    <w:p w14:paraId="7FFE90D6">
      <w:pPr>
        <w:ind w:firstLine="480" w:firstLineChars="200"/>
        <w:rPr>
          <w:rFonts w:ascii="宋体" w:hAnsi="宋体" w:cs="宋体"/>
          <w:sz w:val="24"/>
        </w:rPr>
      </w:pPr>
      <w:r>
        <w:rPr>
          <w:rFonts w:hint="eastAsia" w:ascii="宋体" w:hAnsi="宋体" w:cs="宋体"/>
          <w:sz w:val="24"/>
        </w:rPr>
        <w:t>5.采购需求：</w:t>
      </w:r>
      <w:r>
        <w:rPr>
          <w:rFonts w:hint="eastAsia" w:ascii="宋体" w:hAnsi="宋体" w:cs="宋体"/>
          <w:sz w:val="24"/>
          <w:lang w:eastAsia="zh-CN"/>
        </w:rPr>
        <w:t>2026年度招标代理机构服务项目</w:t>
      </w:r>
      <w:r>
        <w:rPr>
          <w:rFonts w:hint="eastAsia" w:ascii="宋体" w:hAnsi="宋体" w:cs="宋体"/>
          <w:sz w:val="24"/>
        </w:rPr>
        <w:t>服务，详见用户需求书。</w:t>
      </w:r>
    </w:p>
    <w:p w14:paraId="359DAFEC">
      <w:pPr>
        <w:ind w:firstLine="480" w:firstLineChars="200"/>
        <w:rPr>
          <w:rFonts w:ascii="宋体" w:hAnsi="宋体" w:cs="宋体"/>
          <w:sz w:val="24"/>
          <w:lang w:val="zh-CN"/>
        </w:rPr>
      </w:pPr>
      <w:r>
        <w:rPr>
          <w:rFonts w:hint="eastAsia" w:ascii="宋体" w:hAnsi="宋体" w:cs="宋体"/>
          <w:sz w:val="24"/>
        </w:rPr>
        <w:t>6.服务期限：</w:t>
      </w:r>
      <w:r>
        <w:rPr>
          <w:rFonts w:hint="eastAsia" w:ascii="宋体" w:hAnsi="宋体" w:cs="宋体"/>
          <w:sz w:val="24"/>
          <w:lang w:eastAsia="zh-CN"/>
        </w:rPr>
        <w:t>一</w:t>
      </w:r>
      <w:r>
        <w:rPr>
          <w:rFonts w:hint="eastAsia" w:ascii="宋体" w:hAnsi="宋体" w:cs="宋体"/>
          <w:sz w:val="24"/>
        </w:rPr>
        <w:t>年，以签订合同时间起算，合同一年一签。本项目为长期服务项目，合同期满可以续签，但合同履行期限最长不得超过三十六个月。如</w:t>
      </w:r>
      <w:r>
        <w:rPr>
          <w:rFonts w:hint="eastAsia" w:ascii="宋体" w:hAnsi="宋体" w:cs="宋体"/>
          <w:sz w:val="24"/>
          <w:lang w:eastAsia="zh-CN"/>
        </w:rPr>
        <w:t>采购人</w:t>
      </w:r>
      <w:r>
        <w:rPr>
          <w:rFonts w:hint="eastAsia" w:ascii="宋体" w:hAnsi="宋体" w:cs="宋体"/>
          <w:sz w:val="24"/>
        </w:rPr>
        <w:t>对履约情况不满意，</w:t>
      </w:r>
      <w:r>
        <w:rPr>
          <w:rFonts w:hint="eastAsia" w:ascii="宋体" w:hAnsi="宋体" w:cs="宋体"/>
          <w:sz w:val="24"/>
          <w:lang w:eastAsia="zh-CN"/>
        </w:rPr>
        <w:t>采购人</w:t>
      </w:r>
      <w:r>
        <w:rPr>
          <w:rFonts w:hint="eastAsia" w:ascii="宋体" w:hAnsi="宋体" w:cs="宋体"/>
          <w:sz w:val="24"/>
        </w:rPr>
        <w:t>不再续约。</w:t>
      </w:r>
    </w:p>
    <w:p w14:paraId="6C93363A">
      <w:pPr>
        <w:ind w:firstLine="480" w:firstLineChars="200"/>
        <w:rPr>
          <w:rFonts w:ascii="宋体" w:hAnsi="宋体" w:cs="宋体"/>
          <w:sz w:val="24"/>
        </w:rPr>
      </w:pPr>
      <w:r>
        <w:rPr>
          <w:rFonts w:hint="eastAsia" w:ascii="宋体" w:hAnsi="宋体" w:cs="宋体"/>
          <w:sz w:val="24"/>
        </w:rPr>
        <w:t>7.服务属性：本项目</w:t>
      </w:r>
      <w:r>
        <w:rPr>
          <w:rFonts w:hint="eastAsia" w:ascii="宋体" w:hAnsi="宋体" w:cs="宋体"/>
          <w:sz w:val="24"/>
          <w:lang w:val="en-US" w:eastAsia="zh-CN"/>
        </w:rPr>
        <w:t>为</w:t>
      </w:r>
      <w:r>
        <w:rPr>
          <w:rFonts w:hint="eastAsia" w:ascii="宋体" w:hAnsi="宋体" w:cs="宋体"/>
          <w:sz w:val="24"/>
        </w:rPr>
        <w:t>长期服务项目。</w:t>
      </w:r>
    </w:p>
    <w:p w14:paraId="5B0831CC">
      <w:pPr>
        <w:widowControl/>
        <w:shd w:val="clear" w:color="auto" w:fill="FFFFFF"/>
        <w:outlineLvl w:val="2"/>
        <w:rPr>
          <w:rFonts w:ascii="宋体" w:hAnsi="宋体" w:cs="宋体"/>
          <w:b/>
          <w:bCs/>
          <w:kern w:val="0"/>
          <w:sz w:val="24"/>
        </w:rPr>
      </w:pPr>
      <w:bookmarkStart w:id="19" w:name="_Toc19793"/>
      <w:bookmarkStart w:id="20" w:name="_Toc28359080"/>
      <w:bookmarkStart w:id="21" w:name="_Toc35393791"/>
      <w:bookmarkStart w:id="22" w:name="_Toc28359003"/>
      <w:bookmarkStart w:id="23" w:name="_Toc35393622"/>
      <w:r>
        <w:rPr>
          <w:rFonts w:hint="eastAsia" w:ascii="宋体" w:hAnsi="宋体" w:cs="宋体"/>
          <w:b/>
          <w:bCs/>
          <w:kern w:val="0"/>
          <w:sz w:val="24"/>
        </w:rPr>
        <w:t>三、申请人的资格要求：</w:t>
      </w:r>
      <w:bookmarkEnd w:id="19"/>
      <w:bookmarkEnd w:id="20"/>
      <w:bookmarkEnd w:id="21"/>
      <w:bookmarkEnd w:id="22"/>
      <w:bookmarkEnd w:id="23"/>
    </w:p>
    <w:p w14:paraId="61C22B03">
      <w:pPr>
        <w:ind w:firstLine="480" w:firstLineChars="200"/>
        <w:rPr>
          <w:rFonts w:ascii="宋体" w:hAnsi="宋体" w:cs="宋体"/>
          <w:sz w:val="24"/>
        </w:rPr>
      </w:pPr>
      <w:r>
        <w:rPr>
          <w:rFonts w:hint="eastAsia" w:ascii="宋体" w:hAnsi="宋体" w:cs="宋体"/>
          <w:sz w:val="24"/>
        </w:rPr>
        <w:t>1.满足《中华人民共和国政府采购法》第二十二条规定，包括但不限于：</w:t>
      </w:r>
    </w:p>
    <w:p w14:paraId="14BD23BA">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（1）满足《中华人民共和国政府采购法》第二十二条规定</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30492695">
      <w:pPr>
        <w:widowControl/>
        <w:shd w:val="clear" w:color="auto" w:fill="FFFFFF"/>
        <w:ind w:firstLine="480" w:firstLineChars="200"/>
        <w:jc w:val="left"/>
        <w:rPr>
          <w:rFonts w:ascii="宋体" w:hAnsi="宋体" w:cs="宋体"/>
          <w:color w:val="000000"/>
          <w:kern w:val="0"/>
          <w:sz w:val="24"/>
        </w:rPr>
      </w:pPr>
      <w:r>
        <w:rPr>
          <w:rFonts w:hint="eastAsia" w:ascii="宋体" w:hAnsi="宋体" w:cs="宋体"/>
          <w:color w:val="000000"/>
          <w:kern w:val="0"/>
          <w:sz w:val="24"/>
        </w:rPr>
        <w:t>（2）在中华人民共和国内注册登记的机构组织，具有独立承担民事责任的能力</w:t>
      </w:r>
      <w:r>
        <w:rPr>
          <w:rFonts w:hint="eastAsia" w:ascii="宋体" w:hAnsi="宋体" w:cs="宋体"/>
          <w:b/>
          <w:bCs/>
          <w:color w:val="000000"/>
          <w:kern w:val="0"/>
          <w:sz w:val="24"/>
        </w:rPr>
        <w:t>（提供《营业执照》或机构团体《法人证书》或事务机构《执业许可证》等独立承担民事责任能力的登记证明文件复印件；分支机构投标须提供独立法人单位（如总公司、总校、总院、总所、总会等）出具的愿为其参与本项目投标的行为以及履约等行为承担民事责任的承诺函，且同一家独立法人单位若有两家或两家以上的分支机构，独立法人单位只能授权一家参与投标）。（以上材料须提供复印件加盖公章，原件备查）</w:t>
      </w:r>
      <w:r>
        <w:rPr>
          <w:rFonts w:hint="eastAsia" w:ascii="宋体" w:hAnsi="宋体" w:cs="宋体"/>
          <w:color w:val="000000"/>
          <w:kern w:val="0"/>
          <w:sz w:val="24"/>
        </w:rPr>
        <w:t>。</w:t>
      </w:r>
    </w:p>
    <w:p w14:paraId="5F3D28C1">
      <w:pPr>
        <w:widowControl/>
        <w:shd w:val="clear" w:color="auto" w:fill="FFFFFF"/>
        <w:tabs>
          <w:tab w:val="left" w:pos="420"/>
          <w:tab w:val="left" w:pos="840"/>
        </w:tabs>
        <w:ind w:firstLine="480" w:firstLineChars="200"/>
        <w:jc w:val="left"/>
        <w:rPr>
          <w:rFonts w:hint="eastAsia" w:ascii="宋体" w:hAnsi="宋体" w:eastAsia="宋体" w:cs="宋体"/>
          <w:color w:val="000000"/>
          <w:kern w:val="0"/>
          <w:sz w:val="24"/>
          <w:lang w:eastAsia="zh-CN"/>
        </w:rPr>
      </w:pPr>
      <w:r>
        <w:rPr>
          <w:rFonts w:hint="eastAsia" w:ascii="宋体" w:hAnsi="宋体" w:cs="宋体"/>
          <w:color w:val="000000"/>
          <w:kern w:val="0"/>
          <w:sz w:val="24"/>
        </w:rPr>
        <w:t>（3）参与本项目政府采购活动时不存在被有关部门禁止参与政府采购活动且在有效期内的情况</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41B0B408">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4）至开标当日，未有在“信用中国、中国政府采购网、深圳信用网、深圳市政府采购监管网”等网站中被列入“失信被执行人、重大税收违法案件当事人名单（重大税收违法失信主体）、政府采购严重违法失信行为记录名单”</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43E59B73">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（5）参与政府采购项目投标的供应商近三年内无行贿犯罪记录</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0838301D">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（6）为此项目提供整体设计、规范编制或者项目管理、监理、检测等服务的供应商，不得再参加此项目的其他招标采购活动</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073A8F66">
      <w:pPr>
        <w:widowControl/>
        <w:shd w:val="clear" w:color="auto" w:fill="FFFFFF"/>
        <w:tabs>
          <w:tab w:val="left" w:pos="420"/>
          <w:tab w:val="left" w:pos="840"/>
        </w:tabs>
        <w:ind w:firstLine="480" w:firstLineChars="200"/>
        <w:jc w:val="left"/>
        <w:rPr>
          <w:rFonts w:ascii="宋体" w:hAnsi="宋体" w:cs="宋体"/>
          <w:color w:val="000000"/>
          <w:kern w:val="0"/>
          <w:sz w:val="24"/>
        </w:rPr>
      </w:pPr>
      <w:r>
        <w:rPr>
          <w:rFonts w:hint="eastAsia" w:ascii="宋体" w:hAnsi="宋体" w:cs="宋体"/>
          <w:color w:val="000000"/>
          <w:kern w:val="0"/>
          <w:sz w:val="24"/>
        </w:rPr>
        <w:t>（7）不存在《深圳市财政局政府采购供应商信用信息管理办法》（深财规〔2023〕3号）列明的严重违法失信行为</w:t>
      </w:r>
      <w:r>
        <w:rPr>
          <w:rFonts w:hint="eastAsia" w:ascii="宋体" w:hAnsi="宋体" w:cs="宋体"/>
          <w:b/>
          <w:bCs/>
          <w:color w:val="000000"/>
          <w:kern w:val="0"/>
          <w:sz w:val="24"/>
        </w:rPr>
        <w:t>（由供应商在《政府采购投标及履约承诺函》）中作出声明）</w:t>
      </w:r>
      <w:r>
        <w:rPr>
          <w:rFonts w:hint="eastAsia" w:ascii="宋体" w:hAnsi="宋体" w:cs="宋体"/>
          <w:color w:val="000000"/>
          <w:kern w:val="0"/>
          <w:sz w:val="24"/>
        </w:rPr>
        <w:t>。</w:t>
      </w:r>
    </w:p>
    <w:p w14:paraId="79397842">
      <w:pPr>
        <w:widowControl/>
        <w:shd w:val="clear" w:color="auto" w:fill="FFFFFF"/>
        <w:spacing w:line="288" w:lineRule="auto"/>
        <w:ind w:firstLine="480" w:firstLineChars="200"/>
        <w:jc w:val="left"/>
        <w:rPr>
          <w:rFonts w:ascii="宋体" w:hAnsi="宋体" w:cs="宋体"/>
          <w:sz w:val="24"/>
        </w:rPr>
      </w:pPr>
      <w:r>
        <w:rPr>
          <w:rFonts w:hint="eastAsia" w:ascii="宋体" w:hAnsi="宋体" w:cs="宋体"/>
          <w:color w:val="000000"/>
          <w:kern w:val="0"/>
          <w:sz w:val="24"/>
        </w:rPr>
        <w:t>（8）</w:t>
      </w:r>
      <w:r>
        <w:rPr>
          <w:rFonts w:hint="eastAsia" w:ascii="宋体" w:hAnsi="宋体" w:cs="宋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sz w:val="24"/>
        </w:rPr>
        <w:t>（由供应商提供《供应商基本情况表》并加盖供应商公章，同时提供供应商社保缴纳证明材料及股权关系证明材料，格式见第四章投标文件格式-第二部分资格性、符合性审查文件—五、《供应商基本情况表》；六、社保缴纳证明材料；七、股权关系证明材料，如供应商存在未提供《供应商基本情况表》、社保缴纳证明材料及股权关系证明材料或所提供证明材料不符合采购文件要求的情形，按资格审查不通过处理）</w:t>
      </w:r>
      <w:r>
        <w:rPr>
          <w:rFonts w:hint="eastAsia" w:ascii="宋体" w:hAnsi="宋体" w:cs="宋体"/>
          <w:sz w:val="24"/>
        </w:rPr>
        <w:t>。</w:t>
      </w:r>
    </w:p>
    <w:p w14:paraId="63664CA9">
      <w:pPr>
        <w:pStyle w:val="5"/>
        <w:ind w:firstLine="480" w:firstLineChars="200"/>
        <w:rPr>
          <w:rFonts w:ascii="宋体" w:hAnsi="宋体" w:cs="宋体"/>
        </w:rPr>
      </w:pPr>
      <w:bookmarkStart w:id="24" w:name="_Toc28359081"/>
      <w:bookmarkStart w:id="25" w:name="_Toc28359004"/>
      <w:r>
        <w:rPr>
          <w:rFonts w:hint="eastAsia" w:ascii="宋体" w:hAnsi="宋体" w:cs="宋体"/>
        </w:rPr>
        <w:t>2.落实政府采购政策需满足的资格要求：本项目不属于专门面向特定企业（单位）的采购项目。</w:t>
      </w:r>
    </w:p>
    <w:p w14:paraId="7EAD056F">
      <w:pPr>
        <w:pStyle w:val="5"/>
        <w:ind w:firstLine="480" w:firstLineChars="200"/>
        <w:rPr>
          <w:rFonts w:ascii="宋体" w:hAnsi="宋体" w:cs="宋体"/>
        </w:rPr>
      </w:pPr>
      <w:r>
        <w:rPr>
          <w:rFonts w:hint="eastAsia" w:ascii="宋体" w:hAnsi="宋体" w:cs="宋体"/>
        </w:rPr>
        <w:t>3.本项目的特定资格要求：</w:t>
      </w:r>
    </w:p>
    <w:p w14:paraId="2628E9DF">
      <w:pPr>
        <w:pStyle w:val="5"/>
        <w:ind w:firstLine="480" w:firstLineChars="200"/>
        <w:rPr>
          <w:rFonts w:ascii="宋体" w:hAnsi="宋体" w:cs="宋体"/>
        </w:rPr>
      </w:pPr>
      <w:r>
        <w:rPr>
          <w:rFonts w:hint="eastAsia" w:ascii="宋体" w:hAnsi="宋体" w:cs="宋体"/>
        </w:rPr>
        <w:t>本项目不接受联合体投标，不允许分包、转包。</w:t>
      </w:r>
    </w:p>
    <w:p w14:paraId="14BE8B9C">
      <w:pPr>
        <w:widowControl/>
        <w:shd w:val="clear" w:color="auto" w:fill="FFFFFF"/>
        <w:outlineLvl w:val="2"/>
        <w:rPr>
          <w:rFonts w:ascii="宋体" w:hAnsi="宋体" w:cs="宋体"/>
          <w:b/>
          <w:bCs/>
          <w:kern w:val="0"/>
          <w:sz w:val="24"/>
        </w:rPr>
      </w:pPr>
      <w:bookmarkStart w:id="26" w:name="_Toc35393792"/>
      <w:bookmarkStart w:id="27" w:name="_Toc35393623"/>
      <w:bookmarkStart w:id="28" w:name="_Toc29422"/>
      <w:r>
        <w:rPr>
          <w:rFonts w:hint="eastAsia" w:ascii="宋体" w:hAnsi="宋体" w:cs="宋体"/>
          <w:b/>
          <w:bCs/>
          <w:kern w:val="0"/>
          <w:sz w:val="24"/>
        </w:rPr>
        <w:t>四、获取招标文件</w:t>
      </w:r>
      <w:bookmarkEnd w:id="24"/>
      <w:bookmarkEnd w:id="25"/>
      <w:bookmarkEnd w:id="26"/>
      <w:bookmarkEnd w:id="27"/>
      <w:bookmarkEnd w:id="28"/>
    </w:p>
    <w:p w14:paraId="56F64F48">
      <w:pPr>
        <w:pStyle w:val="2"/>
        <w:ind w:firstLine="480" w:firstLineChars="200"/>
        <w:rPr>
          <w:rFonts w:ascii="宋体" w:hAnsi="宋体" w:cs="宋体"/>
          <w:color w:val="000000"/>
          <w:highlight w:val="none"/>
        </w:rPr>
      </w:pPr>
      <w:bookmarkStart w:id="29" w:name="_Toc28359005"/>
      <w:bookmarkStart w:id="30" w:name="_Toc28359082"/>
      <w:bookmarkStart w:id="31" w:name="_Toc35393624"/>
      <w:bookmarkStart w:id="32" w:name="_Toc35393793"/>
      <w:r>
        <w:rPr>
          <w:rFonts w:hint="eastAsia" w:ascii="宋体" w:hAnsi="宋体" w:cs="宋体"/>
          <w:color w:val="000000"/>
          <w:highlight w:val="none"/>
          <w:lang w:eastAsia="zh-CN"/>
        </w:rPr>
        <w:t>报名</w:t>
      </w:r>
      <w:r>
        <w:rPr>
          <w:rFonts w:hint="eastAsia" w:ascii="宋体" w:hAnsi="宋体" w:cs="宋体"/>
          <w:color w:val="000000"/>
          <w:highlight w:val="none"/>
        </w:rPr>
        <w:t>时间：202</w:t>
      </w:r>
      <w:r>
        <w:rPr>
          <w:rFonts w:hint="eastAsia" w:ascii="宋体" w:hAnsi="宋体" w:cs="宋体"/>
          <w:color w:val="000000"/>
          <w:highlight w:val="none"/>
          <w:lang w:val="en-US" w:eastAsia="zh-CN"/>
        </w:rPr>
        <w:t>6</w:t>
      </w:r>
      <w:r>
        <w:rPr>
          <w:rFonts w:hint="eastAsia" w:ascii="宋体" w:hAnsi="宋体" w:cs="宋体"/>
          <w:color w:val="000000"/>
          <w:highlight w:val="none"/>
        </w:rPr>
        <w:t>年</w:t>
      </w:r>
      <w:r>
        <w:rPr>
          <w:rFonts w:hint="eastAsia" w:ascii="宋体" w:hAnsi="宋体" w:cs="宋体"/>
          <w:color w:val="000000"/>
          <w:highlight w:val="none"/>
          <w:lang w:val="en-US" w:eastAsia="zh-CN"/>
        </w:rPr>
        <w:t>7</w:t>
      </w:r>
      <w:r>
        <w:rPr>
          <w:rFonts w:hint="eastAsia" w:ascii="宋体" w:hAnsi="宋体" w:cs="宋体"/>
          <w:color w:val="000000"/>
          <w:highlight w:val="none"/>
        </w:rPr>
        <w:t>月</w:t>
      </w:r>
      <w:r>
        <w:rPr>
          <w:rFonts w:hint="eastAsia" w:ascii="宋体" w:hAnsi="宋体" w:cs="宋体"/>
          <w:color w:val="000000"/>
          <w:highlight w:val="none"/>
          <w:lang w:val="en-US" w:eastAsia="zh-CN"/>
        </w:rPr>
        <w:t>10</w:t>
      </w:r>
      <w:bookmarkStart w:id="85" w:name="_GoBack"/>
      <w:bookmarkEnd w:id="85"/>
      <w:r>
        <w:rPr>
          <w:rFonts w:hint="eastAsia" w:ascii="宋体" w:hAnsi="宋体" w:cs="宋体"/>
          <w:color w:val="000000"/>
          <w:highlight w:val="none"/>
        </w:rPr>
        <w:t>日至202</w:t>
      </w:r>
      <w:r>
        <w:rPr>
          <w:rFonts w:hint="eastAsia" w:ascii="宋体" w:hAnsi="宋体" w:cs="宋体"/>
          <w:color w:val="000000"/>
          <w:highlight w:val="none"/>
          <w:lang w:val="en-US" w:eastAsia="zh-CN"/>
        </w:rPr>
        <w:t>6</w:t>
      </w:r>
      <w:r>
        <w:rPr>
          <w:rFonts w:hint="eastAsia" w:ascii="宋体" w:hAnsi="宋体" w:cs="宋体"/>
          <w:color w:val="000000"/>
          <w:highlight w:val="none"/>
        </w:rPr>
        <w:t>年</w:t>
      </w:r>
      <w:r>
        <w:rPr>
          <w:rFonts w:hint="eastAsia" w:ascii="宋体" w:hAnsi="宋体" w:cs="宋体"/>
          <w:color w:val="000000"/>
          <w:highlight w:val="none"/>
          <w:lang w:val="en-US" w:eastAsia="zh-CN"/>
        </w:rPr>
        <w:t>7月17</w:t>
      </w:r>
      <w:r>
        <w:rPr>
          <w:rFonts w:hint="eastAsia" w:ascii="宋体" w:hAnsi="宋体" w:cs="宋体"/>
          <w:color w:val="000000"/>
          <w:highlight w:val="none"/>
        </w:rPr>
        <w:t>日1</w:t>
      </w:r>
      <w:r>
        <w:rPr>
          <w:rFonts w:hint="eastAsia" w:ascii="宋体" w:hAnsi="宋体" w:cs="宋体"/>
          <w:color w:val="000000"/>
          <w:highlight w:val="none"/>
          <w:lang w:val="en-US" w:eastAsia="zh-CN"/>
        </w:rPr>
        <w:t>2</w:t>
      </w:r>
      <w:r>
        <w:rPr>
          <w:rFonts w:hint="eastAsia" w:ascii="宋体" w:hAnsi="宋体" w:cs="宋体"/>
          <w:color w:val="000000"/>
          <w:highlight w:val="none"/>
        </w:rPr>
        <w:t>时（北京时间）。</w:t>
      </w:r>
    </w:p>
    <w:p w14:paraId="52CD3657">
      <w:pPr>
        <w:widowControl/>
        <w:shd w:val="clear" w:color="auto" w:fill="FFFFFF"/>
        <w:outlineLvl w:val="2"/>
        <w:rPr>
          <w:rFonts w:ascii="宋体" w:hAnsi="宋体" w:cs="宋体"/>
          <w:b/>
          <w:bCs/>
          <w:color w:val="000000"/>
          <w:sz w:val="24"/>
          <w:highlight w:val="none"/>
        </w:rPr>
      </w:pPr>
      <w:bookmarkStart w:id="33" w:name="_Toc21647"/>
      <w:r>
        <w:rPr>
          <w:rFonts w:hint="eastAsia" w:ascii="宋体" w:hAnsi="宋体" w:cs="宋体"/>
          <w:b/>
          <w:bCs/>
          <w:color w:val="000000"/>
          <w:sz w:val="24"/>
          <w:highlight w:val="none"/>
        </w:rPr>
        <w:t>五、提交投标文件</w:t>
      </w:r>
      <w:bookmarkEnd w:id="29"/>
      <w:bookmarkEnd w:id="30"/>
      <w:r>
        <w:rPr>
          <w:rFonts w:hint="eastAsia" w:ascii="宋体" w:hAnsi="宋体" w:cs="宋体"/>
          <w:b/>
          <w:bCs/>
          <w:color w:val="000000"/>
          <w:sz w:val="24"/>
          <w:highlight w:val="none"/>
        </w:rPr>
        <w:t>截止时间、开标时间和地点</w:t>
      </w:r>
      <w:bookmarkEnd w:id="31"/>
      <w:bookmarkEnd w:id="32"/>
      <w:bookmarkEnd w:id="33"/>
    </w:p>
    <w:p w14:paraId="36089326">
      <w:pPr>
        <w:pStyle w:val="2"/>
        <w:ind w:firstLine="482" w:firstLineChars="200"/>
        <w:rPr>
          <w:rFonts w:ascii="宋体" w:hAnsi="宋体" w:cs="宋体"/>
          <w:color w:val="000000"/>
          <w:highlight w:val="none"/>
        </w:rPr>
      </w:pPr>
      <w:bookmarkStart w:id="34" w:name="_Toc26289"/>
      <w:bookmarkStart w:id="35" w:name="_Toc35393794"/>
      <w:bookmarkStart w:id="36" w:name="_Toc28359007"/>
      <w:bookmarkStart w:id="37" w:name="_Toc28359084"/>
      <w:bookmarkStart w:id="38" w:name="_Toc35393625"/>
      <w:r>
        <w:rPr>
          <w:rFonts w:hint="eastAsia" w:ascii="宋体" w:hAnsi="宋体" w:cs="宋体"/>
          <w:b/>
          <w:bCs/>
          <w:color w:val="000000"/>
          <w:highlight w:val="none"/>
        </w:rPr>
        <w:t>1.递交投标文件时间</w:t>
      </w:r>
      <w:r>
        <w:rPr>
          <w:rFonts w:hint="eastAsia" w:ascii="宋体" w:hAnsi="宋体" w:cs="宋体"/>
          <w:color w:val="000000"/>
          <w:highlight w:val="none"/>
        </w:rPr>
        <w:t>：</w:t>
      </w:r>
      <w:r>
        <w:rPr>
          <w:rFonts w:hint="eastAsia" w:ascii="宋体" w:hAnsi="宋体" w:cs="宋体"/>
          <w:color w:val="000000"/>
          <w:highlight w:val="none"/>
          <w:lang w:eastAsia="zh-CN"/>
        </w:rPr>
        <w:t>报名截止后，以采购人邮件通知为准。</w:t>
      </w:r>
    </w:p>
    <w:p w14:paraId="02A706C0">
      <w:pPr>
        <w:pStyle w:val="2"/>
        <w:ind w:firstLine="482" w:firstLineChars="200"/>
        <w:rPr>
          <w:rFonts w:hint="eastAsia" w:ascii="宋体" w:hAnsi="宋体" w:eastAsia="宋体" w:cs="宋体"/>
          <w:color w:val="000000"/>
          <w:highlight w:val="none"/>
          <w:lang w:eastAsia="zh-CN"/>
        </w:rPr>
      </w:pPr>
      <w:r>
        <w:rPr>
          <w:rFonts w:hint="eastAsia" w:ascii="宋体" w:hAnsi="宋体" w:cs="宋体"/>
          <w:b/>
          <w:bCs/>
          <w:color w:val="000000"/>
          <w:highlight w:val="none"/>
        </w:rPr>
        <w:t>2.投标截止及开标时间</w:t>
      </w:r>
      <w:r>
        <w:rPr>
          <w:rFonts w:hint="eastAsia" w:ascii="宋体" w:hAnsi="宋体" w:cs="宋体"/>
          <w:color w:val="000000"/>
          <w:highlight w:val="none"/>
        </w:rPr>
        <w:t>：</w:t>
      </w:r>
      <w:r>
        <w:rPr>
          <w:rFonts w:hint="eastAsia" w:ascii="宋体" w:hAnsi="宋体" w:cs="宋体"/>
          <w:color w:val="000000"/>
          <w:highlight w:val="none"/>
          <w:lang w:eastAsia="zh-CN"/>
        </w:rPr>
        <w:t>投标截止至</w:t>
      </w:r>
      <w:r>
        <w:rPr>
          <w:rFonts w:hint="eastAsia" w:ascii="宋体" w:hAnsi="宋体" w:cs="宋体"/>
          <w:color w:val="000000"/>
          <w:highlight w:val="none"/>
        </w:rPr>
        <w:t>202</w:t>
      </w:r>
      <w:r>
        <w:rPr>
          <w:rFonts w:hint="eastAsia" w:ascii="宋体" w:hAnsi="宋体" w:cs="宋体"/>
          <w:color w:val="000000"/>
          <w:highlight w:val="none"/>
          <w:lang w:val="en-US" w:eastAsia="zh-CN"/>
        </w:rPr>
        <w:t>6</w:t>
      </w:r>
      <w:r>
        <w:rPr>
          <w:rFonts w:hint="eastAsia" w:ascii="宋体" w:hAnsi="宋体" w:cs="宋体"/>
          <w:color w:val="000000"/>
          <w:highlight w:val="none"/>
        </w:rPr>
        <w:t>年</w:t>
      </w:r>
      <w:r>
        <w:rPr>
          <w:rFonts w:hint="eastAsia" w:ascii="宋体" w:hAnsi="宋体" w:cs="宋体"/>
          <w:color w:val="000000"/>
          <w:highlight w:val="none"/>
          <w:lang w:val="en-US" w:eastAsia="zh-CN"/>
        </w:rPr>
        <w:t>7</w:t>
      </w:r>
      <w:r>
        <w:rPr>
          <w:rFonts w:hint="eastAsia" w:ascii="宋体" w:hAnsi="宋体" w:cs="宋体"/>
          <w:color w:val="000000"/>
          <w:highlight w:val="none"/>
        </w:rPr>
        <w:t>月</w:t>
      </w:r>
      <w:r>
        <w:rPr>
          <w:rFonts w:hint="eastAsia" w:ascii="宋体" w:hAnsi="宋体" w:cs="宋体"/>
          <w:color w:val="000000"/>
          <w:highlight w:val="none"/>
          <w:lang w:val="en-US" w:eastAsia="zh-CN"/>
        </w:rPr>
        <w:t>17</w:t>
      </w:r>
      <w:r>
        <w:rPr>
          <w:rFonts w:hint="eastAsia" w:ascii="宋体" w:hAnsi="宋体" w:cs="宋体"/>
          <w:color w:val="000000"/>
          <w:highlight w:val="none"/>
        </w:rPr>
        <w:t>日1</w:t>
      </w:r>
      <w:r>
        <w:rPr>
          <w:rFonts w:hint="eastAsia" w:ascii="宋体" w:hAnsi="宋体" w:cs="宋体"/>
          <w:color w:val="000000"/>
          <w:highlight w:val="none"/>
          <w:lang w:val="en-US" w:eastAsia="zh-CN"/>
        </w:rPr>
        <w:t>2</w:t>
      </w:r>
      <w:r>
        <w:rPr>
          <w:rFonts w:hint="eastAsia" w:ascii="宋体" w:hAnsi="宋体" w:cs="宋体"/>
          <w:color w:val="000000"/>
          <w:highlight w:val="none"/>
        </w:rPr>
        <w:t>时（北京时间）</w:t>
      </w:r>
      <w:r>
        <w:rPr>
          <w:rFonts w:hint="eastAsia" w:ascii="宋体" w:hAnsi="宋体" w:cs="宋体"/>
          <w:color w:val="000000"/>
          <w:highlight w:val="none"/>
          <w:lang w:eastAsia="zh-CN"/>
        </w:rPr>
        <w:t>，开标时间以采购人邮件通知为准。</w:t>
      </w:r>
    </w:p>
    <w:p w14:paraId="4CEE27B8">
      <w:pPr>
        <w:widowControl/>
        <w:shd w:val="clear" w:color="auto" w:fill="FFFFFF"/>
        <w:spacing w:line="288" w:lineRule="auto"/>
        <w:ind w:firstLine="480" w:firstLineChars="200"/>
        <w:jc w:val="left"/>
        <w:rPr>
          <w:rFonts w:ascii="宋体" w:hAnsi="宋体" w:cs="宋体"/>
          <w:b/>
          <w:bCs/>
          <w:highlight w:val="none"/>
        </w:rPr>
      </w:pPr>
      <w:r>
        <w:rPr>
          <w:rFonts w:hint="eastAsia" w:ascii="宋体" w:hAnsi="宋体" w:cs="宋体"/>
          <w:kern w:val="0"/>
          <w:sz w:val="24"/>
          <w:highlight w:val="none"/>
        </w:rPr>
        <w:t>现场递交：</w:t>
      </w:r>
      <w:r>
        <w:rPr>
          <w:rFonts w:hint="eastAsia" w:ascii="宋体" w:hAnsi="宋体" w:cs="宋体"/>
          <w:kern w:val="0"/>
          <w:sz w:val="24"/>
          <w:highlight w:val="none"/>
          <w:lang w:eastAsia="zh-CN"/>
        </w:rPr>
        <w:t>开标现场递交</w:t>
      </w:r>
      <w:r>
        <w:rPr>
          <w:rFonts w:hint="eastAsia" w:ascii="宋体" w:hAnsi="宋体" w:cs="宋体"/>
          <w:kern w:val="0"/>
          <w:sz w:val="24"/>
          <w:highlight w:val="none"/>
        </w:rPr>
        <w:t>。</w:t>
      </w:r>
    </w:p>
    <w:p w14:paraId="08765B02">
      <w:pPr>
        <w:pStyle w:val="12"/>
        <w:widowControl w:val="0"/>
        <w:adjustRightInd w:val="0"/>
        <w:spacing w:before="0" w:beforeAutospacing="0" w:after="0" w:afterAutospacing="0" w:line="288" w:lineRule="auto"/>
        <w:ind w:firstLine="482" w:firstLineChars="200"/>
        <w:jc w:val="both"/>
        <w:textAlignment w:val="baseline"/>
        <w:rPr>
          <w:rFonts w:hint="default" w:cs="宋体"/>
          <w:highlight w:val="none"/>
        </w:rPr>
      </w:pPr>
      <w:r>
        <w:rPr>
          <w:rFonts w:cs="宋体"/>
          <w:b/>
          <w:bCs/>
          <w:highlight w:val="none"/>
          <w:lang w:bidi="ar"/>
        </w:rPr>
        <w:t>3.递交投标文件及开标地点：</w:t>
      </w:r>
      <w:r>
        <w:rPr>
          <w:rFonts w:hint="eastAsia" w:ascii="宋体" w:hAnsi="宋体" w:cs="宋体"/>
          <w:b/>
          <w:bCs/>
          <w:color w:val="FF0000"/>
          <w:kern w:val="0"/>
          <w:sz w:val="24"/>
          <w:highlight w:val="none"/>
        </w:rPr>
        <w:t>深圳市龙岗区</w:t>
      </w:r>
      <w:r>
        <w:rPr>
          <w:rFonts w:hint="eastAsia" w:ascii="宋体" w:hAnsi="宋体" w:cs="宋体"/>
          <w:b/>
          <w:bCs/>
          <w:color w:val="FF0000"/>
          <w:kern w:val="0"/>
          <w:sz w:val="24"/>
          <w:highlight w:val="none"/>
          <w:lang w:eastAsia="zh-CN"/>
        </w:rPr>
        <w:t>宝荷</w:t>
      </w:r>
      <w:r>
        <w:rPr>
          <w:rFonts w:hint="eastAsia" w:ascii="宋体" w:hAnsi="宋体" w:cs="宋体"/>
          <w:b/>
          <w:bCs/>
          <w:color w:val="FF0000"/>
          <w:kern w:val="0"/>
          <w:sz w:val="24"/>
          <w:highlight w:val="none"/>
        </w:rPr>
        <w:t>大道</w:t>
      </w:r>
      <w:r>
        <w:rPr>
          <w:rFonts w:hint="eastAsia" w:ascii="宋体" w:hAnsi="宋体" w:cs="宋体"/>
          <w:b/>
          <w:bCs/>
          <w:color w:val="FF0000"/>
          <w:kern w:val="0"/>
          <w:sz w:val="24"/>
          <w:highlight w:val="none"/>
          <w:lang w:val="en-US" w:eastAsia="zh-CN"/>
        </w:rPr>
        <w:t>113</w:t>
      </w:r>
      <w:r>
        <w:rPr>
          <w:rFonts w:hint="eastAsia" w:ascii="宋体" w:hAnsi="宋体" w:cs="宋体"/>
          <w:b/>
          <w:bCs/>
          <w:color w:val="FF0000"/>
          <w:kern w:val="0"/>
          <w:sz w:val="24"/>
          <w:highlight w:val="none"/>
        </w:rPr>
        <w:t>号</w:t>
      </w:r>
      <w:r>
        <w:rPr>
          <w:rFonts w:hint="eastAsia" w:ascii="宋体" w:hAnsi="宋体" w:cs="宋体"/>
          <w:b/>
          <w:bCs/>
          <w:color w:val="FF0000"/>
          <w:kern w:val="0"/>
          <w:sz w:val="24"/>
          <w:highlight w:val="none"/>
          <w:lang w:eastAsia="zh-CN"/>
        </w:rPr>
        <w:t>中国医学科学院肿瘤医院深圳医院行政楼</w:t>
      </w:r>
      <w:r>
        <w:rPr>
          <w:rFonts w:hint="eastAsia" w:ascii="宋体" w:hAnsi="宋体" w:cs="宋体"/>
          <w:b/>
          <w:bCs/>
          <w:color w:val="FF0000"/>
          <w:kern w:val="0"/>
          <w:sz w:val="24"/>
          <w:highlight w:val="none"/>
          <w:lang w:val="en-US" w:eastAsia="zh-CN"/>
        </w:rPr>
        <w:t>4楼设备部</w:t>
      </w:r>
    </w:p>
    <w:p w14:paraId="293245D6">
      <w:pPr>
        <w:outlineLvl w:val="2"/>
        <w:rPr>
          <w:rFonts w:ascii="宋体" w:hAnsi="宋体" w:cs="宋体"/>
          <w:b/>
          <w:bCs/>
          <w:kern w:val="0"/>
          <w:sz w:val="24"/>
          <w:highlight w:val="none"/>
        </w:rPr>
      </w:pPr>
      <w:r>
        <w:rPr>
          <w:rFonts w:hint="eastAsia" w:ascii="宋体" w:hAnsi="宋体" w:cs="宋体"/>
          <w:b/>
          <w:bCs/>
          <w:kern w:val="0"/>
          <w:sz w:val="24"/>
          <w:highlight w:val="none"/>
        </w:rPr>
        <w:t>六、</w:t>
      </w:r>
      <w:bookmarkEnd w:id="34"/>
      <w:bookmarkEnd w:id="35"/>
      <w:bookmarkEnd w:id="36"/>
      <w:bookmarkEnd w:id="37"/>
      <w:bookmarkEnd w:id="38"/>
      <w:r>
        <w:rPr>
          <w:rFonts w:hint="eastAsia" w:ascii="宋体" w:hAnsi="宋体" w:cs="宋体"/>
          <w:b/>
          <w:bCs/>
          <w:kern w:val="0"/>
          <w:sz w:val="24"/>
          <w:highlight w:val="none"/>
        </w:rPr>
        <w:t>发布媒介：</w:t>
      </w:r>
    </w:p>
    <w:p w14:paraId="0515771E">
      <w:pPr>
        <w:widowControl/>
        <w:shd w:val="clear" w:color="auto" w:fill="FFFFFF"/>
        <w:ind w:firstLine="480" w:firstLineChars="200"/>
        <w:outlineLvl w:val="2"/>
        <w:rPr>
          <w:rFonts w:hint="eastAsia" w:ascii="宋体" w:hAnsi="宋体" w:cs="宋体"/>
          <w:kern w:val="0"/>
          <w:sz w:val="24"/>
          <w:highlight w:val="none"/>
          <w:lang w:eastAsia="zh-CN"/>
        </w:rPr>
      </w:pPr>
      <w:bookmarkStart w:id="39" w:name="_Toc35393795"/>
      <w:bookmarkStart w:id="40" w:name="_Toc16364"/>
      <w:bookmarkStart w:id="41" w:name="_Toc35393626"/>
      <w:r>
        <w:rPr>
          <w:rFonts w:hint="eastAsia" w:ascii="宋体" w:hAnsi="宋体" w:cs="宋体"/>
          <w:kern w:val="0"/>
          <w:sz w:val="24"/>
          <w:highlight w:val="none"/>
          <w:lang w:eastAsia="zh-CN"/>
        </w:rPr>
        <w:t>中国医学科学院肿瘤医院深圳医院官网：http://www.cicams-sz.org.cn/wygk/yygg/ztbxx/</w:t>
      </w:r>
    </w:p>
    <w:p w14:paraId="38801083">
      <w:pPr>
        <w:widowControl/>
        <w:shd w:val="clear" w:color="auto" w:fill="FFFFFF"/>
        <w:outlineLvl w:val="2"/>
        <w:rPr>
          <w:rFonts w:ascii="宋体" w:hAnsi="宋体" w:cs="宋体"/>
          <w:b/>
          <w:bCs/>
          <w:kern w:val="0"/>
          <w:sz w:val="24"/>
          <w:highlight w:val="none"/>
        </w:rPr>
      </w:pPr>
      <w:r>
        <w:rPr>
          <w:rFonts w:hint="eastAsia" w:ascii="宋体" w:hAnsi="宋体" w:cs="宋体"/>
          <w:b/>
          <w:bCs/>
          <w:kern w:val="0"/>
          <w:sz w:val="24"/>
          <w:highlight w:val="none"/>
        </w:rPr>
        <w:t>七、其他补充事宜</w:t>
      </w:r>
      <w:bookmarkEnd w:id="39"/>
      <w:bookmarkEnd w:id="40"/>
      <w:bookmarkEnd w:id="41"/>
    </w:p>
    <w:p w14:paraId="7481D5A8">
      <w:pPr>
        <w:widowControl/>
        <w:shd w:val="clear" w:color="auto" w:fill="FFFFFF"/>
        <w:ind w:firstLine="482" w:firstLineChars="200"/>
        <w:jc w:val="left"/>
        <w:rPr>
          <w:rFonts w:ascii="宋体" w:hAnsi="宋体" w:cs="宋体"/>
          <w:kern w:val="0"/>
          <w:sz w:val="24"/>
        </w:rPr>
      </w:pPr>
      <w:r>
        <w:rPr>
          <w:rFonts w:hint="eastAsia" w:ascii="宋体" w:hAnsi="宋体" w:cs="宋体"/>
          <w:b/>
          <w:bCs/>
          <w:kern w:val="0"/>
          <w:sz w:val="24"/>
        </w:rPr>
        <w:t>1.项目审批情况：</w:t>
      </w:r>
      <w:r>
        <w:rPr>
          <w:rFonts w:hint="eastAsia" w:ascii="宋体" w:hAnsi="宋体" w:cs="宋体"/>
          <w:kern w:val="0"/>
          <w:sz w:val="24"/>
        </w:rPr>
        <w:t>本项目已获得主管部门审批。</w:t>
      </w:r>
    </w:p>
    <w:p w14:paraId="5B61A546">
      <w:pPr>
        <w:widowControl/>
        <w:shd w:val="clear" w:color="auto" w:fill="FFFFFF"/>
        <w:ind w:firstLine="482" w:firstLineChars="200"/>
        <w:rPr>
          <w:rFonts w:ascii="宋体" w:hAnsi="宋体" w:cs="宋体"/>
          <w:b/>
          <w:bCs/>
          <w:kern w:val="0"/>
          <w:sz w:val="24"/>
        </w:rPr>
      </w:pPr>
      <w:r>
        <w:rPr>
          <w:rFonts w:hint="eastAsia" w:ascii="宋体" w:hAnsi="宋体" w:cs="宋体"/>
          <w:b/>
          <w:bCs/>
          <w:kern w:val="0"/>
          <w:sz w:val="24"/>
        </w:rPr>
        <w:t>2.评审办法和评审标准：</w:t>
      </w:r>
      <w:r>
        <w:rPr>
          <w:rFonts w:hint="eastAsia" w:ascii="宋体" w:hAnsi="宋体" w:cs="宋体"/>
          <w:kern w:val="0"/>
          <w:sz w:val="24"/>
        </w:rPr>
        <w:t>本项目评审采用综合评分法,</w:t>
      </w:r>
      <w:r>
        <w:rPr>
          <w:rFonts w:hint="eastAsia" w:ascii="宋体" w:hAnsi="宋体" w:cs="宋体"/>
          <w:sz w:val="24"/>
          <w:shd w:val="clear" w:color="auto" w:fill="FFFFFF"/>
        </w:rPr>
        <w:t>其中：价格部分10分；技术部分</w:t>
      </w:r>
      <w:r>
        <w:rPr>
          <w:rFonts w:hint="eastAsia" w:ascii="宋体" w:hAnsi="宋体" w:cs="宋体"/>
          <w:sz w:val="24"/>
          <w:shd w:val="clear" w:color="auto" w:fill="FFFFFF"/>
          <w:lang w:val="en-US" w:eastAsia="zh-CN"/>
        </w:rPr>
        <w:t>65</w:t>
      </w:r>
      <w:r>
        <w:rPr>
          <w:rFonts w:hint="eastAsia" w:ascii="宋体" w:hAnsi="宋体" w:cs="宋体"/>
          <w:sz w:val="24"/>
          <w:shd w:val="clear" w:color="auto" w:fill="FFFFFF"/>
        </w:rPr>
        <w:t>分；商务部分</w:t>
      </w:r>
      <w:r>
        <w:rPr>
          <w:rFonts w:hint="eastAsia" w:ascii="宋体" w:hAnsi="宋体" w:cs="宋体"/>
          <w:sz w:val="24"/>
          <w:shd w:val="clear" w:color="auto" w:fill="FFFFFF"/>
          <w:lang w:val="en-US" w:eastAsia="zh-CN"/>
        </w:rPr>
        <w:t>25</w:t>
      </w:r>
      <w:r>
        <w:rPr>
          <w:rFonts w:hint="eastAsia" w:ascii="宋体" w:hAnsi="宋体" w:cs="宋体"/>
          <w:sz w:val="24"/>
          <w:shd w:val="clear" w:color="auto" w:fill="FFFFFF"/>
        </w:rPr>
        <w:t>分。详细的评分因素和标准见招标文件。</w:t>
      </w:r>
    </w:p>
    <w:p w14:paraId="420FF372">
      <w:pPr>
        <w:widowControl/>
        <w:shd w:val="clear" w:color="auto" w:fill="FFFFFF"/>
        <w:outlineLvl w:val="2"/>
        <w:rPr>
          <w:rFonts w:ascii="宋体" w:hAnsi="宋体" w:cs="宋体"/>
          <w:b/>
          <w:bCs/>
          <w:kern w:val="0"/>
          <w:sz w:val="24"/>
        </w:rPr>
      </w:pPr>
      <w:bookmarkStart w:id="42" w:name="_Toc10059"/>
      <w:bookmarkStart w:id="43" w:name="_Toc35393796"/>
      <w:bookmarkStart w:id="44" w:name="_Toc28359085"/>
      <w:bookmarkStart w:id="45" w:name="_Toc35393627"/>
      <w:bookmarkStart w:id="46" w:name="_Toc28359008"/>
      <w:r>
        <w:rPr>
          <w:rFonts w:hint="eastAsia" w:ascii="宋体" w:hAnsi="宋体" w:cs="宋体"/>
          <w:b/>
          <w:bCs/>
          <w:kern w:val="0"/>
          <w:sz w:val="24"/>
        </w:rPr>
        <w:t>八、对本次招标提出询问，请按以下方式联系</w:t>
      </w:r>
      <w:bookmarkEnd w:id="42"/>
      <w:bookmarkEnd w:id="43"/>
      <w:bookmarkEnd w:id="44"/>
      <w:bookmarkEnd w:id="45"/>
      <w:bookmarkEnd w:id="46"/>
    </w:p>
    <w:p w14:paraId="734B0F10">
      <w:pPr>
        <w:widowControl/>
        <w:ind w:firstLine="480" w:firstLineChars="200"/>
        <w:jc w:val="left"/>
        <w:rPr>
          <w:rFonts w:ascii="宋体" w:hAnsi="宋体" w:cs="宋体"/>
          <w:sz w:val="24"/>
        </w:rPr>
      </w:pPr>
      <w:r>
        <w:rPr>
          <w:rFonts w:hint="eastAsia" w:ascii="宋体" w:hAnsi="宋体" w:cs="宋体"/>
          <w:sz w:val="24"/>
        </w:rPr>
        <w:t>1.采购人信息</w:t>
      </w:r>
    </w:p>
    <w:p w14:paraId="314C6D74">
      <w:pPr>
        <w:ind w:firstLine="480" w:firstLineChars="200"/>
        <w:jc w:val="left"/>
        <w:rPr>
          <w:rFonts w:ascii="宋体" w:hAnsi="宋体" w:cs="宋体"/>
          <w:sz w:val="24"/>
        </w:rPr>
      </w:pPr>
      <w:bookmarkStart w:id="47" w:name="_Toc28359086"/>
      <w:bookmarkStart w:id="48" w:name="_Toc28359009"/>
      <w:r>
        <w:rPr>
          <w:rFonts w:hint="eastAsia" w:ascii="宋体" w:hAnsi="宋体" w:cs="宋体"/>
          <w:sz w:val="24"/>
        </w:rPr>
        <w:t>名称：中国医学科学院肿瘤医院深圳医院</w:t>
      </w:r>
    </w:p>
    <w:p w14:paraId="68EF9394">
      <w:pPr>
        <w:ind w:firstLine="480" w:firstLineChars="200"/>
        <w:jc w:val="left"/>
        <w:rPr>
          <w:rFonts w:ascii="宋体" w:hAnsi="宋体" w:cs="宋体"/>
          <w:sz w:val="24"/>
        </w:rPr>
      </w:pPr>
      <w:r>
        <w:rPr>
          <w:rFonts w:hint="eastAsia" w:ascii="宋体" w:hAnsi="宋体" w:cs="宋体"/>
          <w:sz w:val="24"/>
        </w:rPr>
        <w:t>地址：广东省深圳市龙岗区宝荷大道113号</w:t>
      </w:r>
    </w:p>
    <w:p w14:paraId="3C44040B">
      <w:pPr>
        <w:ind w:firstLine="480" w:firstLineChars="200"/>
        <w:jc w:val="left"/>
        <w:rPr>
          <w:rFonts w:ascii="宋体" w:hAnsi="宋体" w:cs="宋体"/>
          <w:sz w:val="24"/>
        </w:rPr>
      </w:pPr>
      <w:r>
        <w:rPr>
          <w:rFonts w:hint="eastAsia" w:ascii="宋体" w:hAnsi="宋体" w:cs="宋体"/>
          <w:sz w:val="24"/>
        </w:rPr>
        <w:t>联系人：刘老师</w:t>
      </w:r>
    </w:p>
    <w:p w14:paraId="76D461ED">
      <w:pPr>
        <w:ind w:firstLine="480" w:firstLineChars="200"/>
        <w:jc w:val="left"/>
        <w:rPr>
          <w:rFonts w:ascii="宋体" w:hAnsi="宋体" w:cs="宋体"/>
          <w:sz w:val="24"/>
        </w:rPr>
      </w:pPr>
      <w:r>
        <w:rPr>
          <w:rFonts w:hint="eastAsia" w:ascii="宋体" w:hAnsi="宋体" w:cs="宋体"/>
          <w:sz w:val="24"/>
        </w:rPr>
        <w:t>电话：0755-66618168转14076</w:t>
      </w:r>
    </w:p>
    <w:bookmarkEnd w:id="47"/>
    <w:bookmarkEnd w:id="48"/>
    <w:p w14:paraId="78D2C429">
      <w:pPr>
        <w:jc w:val="center"/>
        <w:outlineLvl w:val="1"/>
        <w:rPr>
          <w:rFonts w:ascii="宋体" w:hAnsi="宋体" w:cs="宋体"/>
          <w:b/>
          <w:bCs/>
          <w:sz w:val="36"/>
          <w:szCs w:val="36"/>
        </w:rPr>
      </w:pPr>
      <w:r>
        <w:rPr>
          <w:rFonts w:hint="eastAsia" w:ascii="宋体" w:hAnsi="宋体" w:cs="宋体"/>
          <w:sz w:val="36"/>
          <w:szCs w:val="36"/>
        </w:rPr>
        <w:br w:type="page"/>
      </w:r>
      <w:bookmarkStart w:id="49" w:name="_Toc1154"/>
      <w:r>
        <w:rPr>
          <w:rFonts w:hint="eastAsia" w:ascii="宋体" w:hAnsi="宋体" w:cs="宋体"/>
          <w:b/>
          <w:bCs/>
          <w:sz w:val="36"/>
          <w:szCs w:val="36"/>
        </w:rPr>
        <w:t>第二章</w:t>
      </w:r>
      <w:bookmarkStart w:id="50" w:name="_Toc97561918"/>
      <w:bookmarkStart w:id="51" w:name="_Toc423902067"/>
      <w:bookmarkStart w:id="52" w:name="_Toc164330935"/>
      <w:bookmarkStart w:id="53" w:name="_Toc423902124"/>
      <w:bookmarkStart w:id="54" w:name="投标人须知"/>
      <w:r>
        <w:rPr>
          <w:rFonts w:hint="eastAsia" w:ascii="宋体" w:hAnsi="宋体" w:cs="宋体"/>
          <w:b/>
          <w:bCs/>
          <w:sz w:val="36"/>
          <w:szCs w:val="36"/>
        </w:rPr>
        <w:t>投标人须知前附表</w:t>
      </w:r>
      <w:bookmarkEnd w:id="49"/>
      <w:bookmarkEnd w:id="50"/>
      <w:bookmarkEnd w:id="51"/>
      <w:bookmarkEnd w:id="52"/>
      <w:bookmarkEnd w:id="53"/>
    </w:p>
    <w:p w14:paraId="2F085C49">
      <w:pPr>
        <w:adjustRightInd w:val="0"/>
        <w:snapToGrid w:val="0"/>
        <w:spacing w:line="264" w:lineRule="auto"/>
        <w:ind w:firstLine="420" w:firstLineChars="200"/>
        <w:rPr>
          <w:rFonts w:ascii="宋体" w:hAnsi="宋体" w:cs="宋体"/>
          <w:szCs w:val="21"/>
        </w:rPr>
      </w:pPr>
    </w:p>
    <w:p w14:paraId="33B3EFC5">
      <w:pPr>
        <w:adjustRightInd w:val="0"/>
        <w:snapToGrid w:val="0"/>
        <w:spacing w:line="264" w:lineRule="auto"/>
        <w:ind w:firstLine="420" w:firstLineChars="200"/>
        <w:rPr>
          <w:rFonts w:ascii="宋体" w:hAnsi="宋体" w:cs="宋体"/>
          <w:szCs w:val="21"/>
        </w:rPr>
      </w:pPr>
      <w:r>
        <w:rPr>
          <w:rFonts w:hint="eastAsia" w:ascii="宋体" w:hAnsi="宋体" w:cs="宋体"/>
          <w:szCs w:val="21"/>
        </w:rPr>
        <w:t>本表关于采购项目的具体资料，是对投标人须知的具体补充和修改，如有矛盾，应以投标人须知前附表为准。投标人须知前附表的条款号与投标人须知相对应。</w:t>
      </w:r>
    </w:p>
    <w:tbl>
      <w:tblPr>
        <w:tblStyle w:val="14"/>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478"/>
        <w:gridCol w:w="8160"/>
      </w:tblGrid>
      <w:tr w14:paraId="1E35C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78" w:type="dxa"/>
            <w:vAlign w:val="center"/>
          </w:tcPr>
          <w:p w14:paraId="22874493">
            <w:pPr>
              <w:adjustRightInd w:val="0"/>
              <w:snapToGrid w:val="0"/>
              <w:spacing w:line="288" w:lineRule="auto"/>
              <w:ind w:right="26"/>
              <w:jc w:val="center"/>
              <w:rPr>
                <w:rFonts w:ascii="宋体" w:hAnsi="宋体" w:cs="宋体"/>
                <w:b/>
                <w:bCs/>
                <w:sz w:val="24"/>
              </w:rPr>
            </w:pPr>
            <w:r>
              <w:rPr>
                <w:rFonts w:hint="eastAsia" w:ascii="宋体" w:hAnsi="宋体" w:cs="宋体"/>
                <w:b/>
                <w:bCs/>
                <w:sz w:val="24"/>
              </w:rPr>
              <w:t>投标人须知对应条款号</w:t>
            </w:r>
          </w:p>
        </w:tc>
        <w:tc>
          <w:tcPr>
            <w:tcW w:w="8160" w:type="dxa"/>
            <w:vAlign w:val="center"/>
          </w:tcPr>
          <w:p w14:paraId="65B0FB71">
            <w:pPr>
              <w:adjustRightInd w:val="0"/>
              <w:snapToGrid w:val="0"/>
              <w:spacing w:line="288" w:lineRule="auto"/>
              <w:ind w:right="26"/>
              <w:jc w:val="center"/>
              <w:rPr>
                <w:rFonts w:ascii="宋体" w:hAnsi="宋体" w:cs="宋体"/>
                <w:b/>
                <w:bCs/>
                <w:sz w:val="24"/>
              </w:rPr>
            </w:pPr>
            <w:r>
              <w:rPr>
                <w:rFonts w:hint="eastAsia" w:ascii="宋体" w:hAnsi="宋体" w:cs="宋体"/>
                <w:b/>
                <w:bCs/>
                <w:sz w:val="24"/>
              </w:rPr>
              <w:t>内容</w:t>
            </w:r>
          </w:p>
        </w:tc>
      </w:tr>
      <w:tr w14:paraId="3340E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3C4C8F35">
            <w:pPr>
              <w:adjustRightInd w:val="0"/>
              <w:snapToGrid w:val="0"/>
              <w:spacing w:line="288" w:lineRule="auto"/>
              <w:ind w:right="26"/>
              <w:jc w:val="center"/>
              <w:rPr>
                <w:rFonts w:ascii="宋体" w:hAnsi="宋体" w:cs="宋体"/>
                <w:sz w:val="24"/>
              </w:rPr>
            </w:pPr>
            <w:r>
              <w:rPr>
                <w:rFonts w:hint="eastAsia" w:ascii="宋体" w:hAnsi="宋体" w:cs="宋体"/>
                <w:sz w:val="24"/>
              </w:rPr>
              <w:t>1.1.</w:t>
            </w:r>
          </w:p>
        </w:tc>
        <w:tc>
          <w:tcPr>
            <w:tcW w:w="8160" w:type="dxa"/>
          </w:tcPr>
          <w:p w14:paraId="5949F069">
            <w:pPr>
              <w:adjustRightInd w:val="0"/>
              <w:snapToGrid w:val="0"/>
              <w:spacing w:line="264" w:lineRule="auto"/>
              <w:ind w:right="26"/>
              <w:rPr>
                <w:rFonts w:hint="eastAsia" w:ascii="宋体" w:hAnsi="宋体" w:eastAsia="宋体" w:cs="宋体"/>
                <w:sz w:val="24"/>
                <w:lang w:eastAsia="zh-CN"/>
              </w:rPr>
            </w:pPr>
            <w:r>
              <w:rPr>
                <w:rFonts w:hint="eastAsia" w:ascii="宋体" w:hAnsi="宋体" w:cs="宋体"/>
                <w:b/>
                <w:bCs/>
                <w:sz w:val="24"/>
              </w:rPr>
              <w:t>1、项目资金来源：</w:t>
            </w:r>
            <w:r>
              <w:rPr>
                <w:rFonts w:hint="eastAsia" w:ascii="宋体" w:hAnsi="宋体" w:cs="宋体"/>
                <w:sz w:val="24"/>
              </w:rPr>
              <w:t>自筹资金</w:t>
            </w:r>
          </w:p>
          <w:p w14:paraId="6F114749">
            <w:pPr>
              <w:adjustRightInd w:val="0"/>
              <w:snapToGrid w:val="0"/>
              <w:spacing w:line="264" w:lineRule="auto"/>
              <w:ind w:right="26"/>
              <w:rPr>
                <w:rFonts w:ascii="宋体" w:hAnsi="宋体" w:cs="宋体"/>
                <w:b/>
                <w:bCs/>
                <w:sz w:val="24"/>
              </w:rPr>
            </w:pPr>
            <w:r>
              <w:rPr>
                <w:rFonts w:hint="eastAsia" w:ascii="宋体" w:hAnsi="宋体" w:cs="宋体"/>
                <w:b/>
                <w:bCs/>
                <w:sz w:val="24"/>
              </w:rPr>
              <w:t>2、项目概况：</w:t>
            </w:r>
          </w:p>
          <w:p w14:paraId="112EFEAE">
            <w:pPr>
              <w:adjustRightInd w:val="0"/>
              <w:snapToGrid w:val="0"/>
              <w:spacing w:line="264" w:lineRule="auto"/>
              <w:ind w:right="26"/>
              <w:rPr>
                <w:rFonts w:ascii="宋体" w:hAnsi="宋体" w:cs="宋体"/>
                <w:sz w:val="24"/>
              </w:rPr>
            </w:pPr>
            <w:r>
              <w:rPr>
                <w:rFonts w:hint="eastAsia" w:ascii="宋体" w:hAnsi="宋体" w:cs="宋体"/>
                <w:b/>
                <w:bCs/>
                <w:sz w:val="24"/>
              </w:rPr>
              <w:t>项目名称：</w:t>
            </w:r>
            <w:r>
              <w:rPr>
                <w:rFonts w:hint="eastAsia" w:ascii="宋体" w:hAnsi="宋体" w:cs="宋体"/>
                <w:sz w:val="24"/>
              </w:rPr>
              <w:t>详见《投标邀请书》</w:t>
            </w:r>
          </w:p>
          <w:p w14:paraId="317948FC">
            <w:pPr>
              <w:adjustRightInd w:val="0"/>
              <w:snapToGrid w:val="0"/>
              <w:spacing w:line="264" w:lineRule="auto"/>
              <w:ind w:right="26"/>
              <w:rPr>
                <w:rFonts w:ascii="宋体" w:hAnsi="宋体" w:cs="宋体"/>
                <w:sz w:val="24"/>
              </w:rPr>
            </w:pPr>
            <w:r>
              <w:rPr>
                <w:rFonts w:hint="eastAsia" w:ascii="宋体" w:hAnsi="宋体" w:cs="宋体"/>
                <w:b/>
                <w:bCs/>
                <w:sz w:val="24"/>
              </w:rPr>
              <w:t>项目编号：</w:t>
            </w:r>
            <w:r>
              <w:rPr>
                <w:rFonts w:hint="eastAsia" w:ascii="宋体" w:hAnsi="宋体" w:cs="宋体"/>
                <w:sz w:val="24"/>
              </w:rPr>
              <w:t>详见《投标邀请书》</w:t>
            </w:r>
          </w:p>
          <w:p w14:paraId="634B4BA2">
            <w:pPr>
              <w:adjustRightInd w:val="0"/>
              <w:snapToGrid w:val="0"/>
              <w:spacing w:line="264" w:lineRule="auto"/>
              <w:ind w:right="26"/>
              <w:rPr>
                <w:rFonts w:ascii="宋体" w:hAnsi="宋体" w:cs="宋体"/>
                <w:sz w:val="24"/>
              </w:rPr>
            </w:pPr>
            <w:r>
              <w:rPr>
                <w:rFonts w:hint="eastAsia" w:ascii="宋体" w:hAnsi="宋体" w:cs="宋体"/>
                <w:b/>
                <w:bCs/>
                <w:sz w:val="24"/>
              </w:rPr>
              <w:t>采购内容：</w:t>
            </w:r>
            <w:r>
              <w:rPr>
                <w:rFonts w:hint="eastAsia" w:ascii="宋体" w:hAnsi="宋体" w:cs="宋体"/>
                <w:sz w:val="24"/>
              </w:rPr>
              <w:t>详见《投标邀请书》</w:t>
            </w:r>
          </w:p>
          <w:p w14:paraId="4EB15A8E">
            <w:pPr>
              <w:adjustRightInd w:val="0"/>
              <w:snapToGrid w:val="0"/>
              <w:spacing w:line="264" w:lineRule="auto"/>
              <w:ind w:right="26"/>
              <w:rPr>
                <w:rFonts w:ascii="宋体" w:hAnsi="宋体" w:cs="宋体"/>
                <w:sz w:val="24"/>
              </w:rPr>
            </w:pPr>
            <w:r>
              <w:rPr>
                <w:rFonts w:hint="eastAsia" w:ascii="宋体" w:hAnsi="宋体" w:cs="宋体"/>
                <w:b/>
                <w:bCs/>
                <w:sz w:val="24"/>
              </w:rPr>
              <w:t>项目预算金额：</w:t>
            </w:r>
            <w:r>
              <w:rPr>
                <w:rFonts w:hint="eastAsia" w:ascii="宋体" w:hAnsi="宋体" w:cs="宋体"/>
                <w:sz w:val="24"/>
              </w:rPr>
              <w:t>详见《投标邀请书》</w:t>
            </w:r>
          </w:p>
        </w:tc>
      </w:tr>
      <w:tr w14:paraId="14F34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2287643E">
            <w:pPr>
              <w:adjustRightInd w:val="0"/>
              <w:snapToGrid w:val="0"/>
              <w:spacing w:line="288" w:lineRule="auto"/>
              <w:ind w:right="26"/>
              <w:jc w:val="center"/>
              <w:rPr>
                <w:rFonts w:ascii="宋体" w:hAnsi="宋体" w:cs="宋体"/>
                <w:sz w:val="24"/>
              </w:rPr>
            </w:pPr>
            <w:r>
              <w:rPr>
                <w:rFonts w:hint="eastAsia" w:ascii="宋体" w:hAnsi="宋体" w:cs="宋体"/>
                <w:sz w:val="24"/>
              </w:rPr>
              <w:t>1.2.</w:t>
            </w:r>
          </w:p>
        </w:tc>
        <w:tc>
          <w:tcPr>
            <w:tcW w:w="8160" w:type="dxa"/>
            <w:vAlign w:val="center"/>
          </w:tcPr>
          <w:p w14:paraId="5E2026FD">
            <w:pPr>
              <w:adjustRightInd w:val="0"/>
              <w:snapToGrid w:val="0"/>
              <w:rPr>
                <w:rFonts w:ascii="宋体" w:hAnsi="宋体" w:cs="宋体"/>
                <w:sz w:val="24"/>
              </w:rPr>
            </w:pPr>
            <w:r>
              <w:rPr>
                <w:rFonts w:hint="eastAsia" w:ascii="宋体" w:hAnsi="宋体" w:cs="宋体"/>
                <w:b/>
                <w:bCs/>
                <w:sz w:val="24"/>
              </w:rPr>
              <w:t>采购人信息：</w:t>
            </w:r>
            <w:r>
              <w:rPr>
                <w:rFonts w:hint="eastAsia" w:ascii="宋体" w:hAnsi="宋体" w:cs="宋体"/>
                <w:sz w:val="24"/>
              </w:rPr>
              <w:t>详见《投标邀请书》</w:t>
            </w:r>
          </w:p>
        </w:tc>
      </w:tr>
      <w:tr w14:paraId="26FF1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54BED24D">
            <w:pPr>
              <w:adjustRightInd w:val="0"/>
              <w:snapToGrid w:val="0"/>
              <w:spacing w:line="288" w:lineRule="auto"/>
              <w:ind w:right="26"/>
              <w:jc w:val="center"/>
              <w:rPr>
                <w:rFonts w:ascii="宋体" w:hAnsi="宋体" w:cs="宋体"/>
                <w:sz w:val="24"/>
              </w:rPr>
            </w:pPr>
            <w:r>
              <w:rPr>
                <w:rFonts w:hint="eastAsia" w:ascii="宋体" w:hAnsi="宋体" w:cs="宋体"/>
                <w:sz w:val="24"/>
              </w:rPr>
              <w:t>2.2.</w:t>
            </w:r>
          </w:p>
        </w:tc>
        <w:tc>
          <w:tcPr>
            <w:tcW w:w="8160" w:type="dxa"/>
            <w:vAlign w:val="center"/>
          </w:tcPr>
          <w:p w14:paraId="15543651">
            <w:pPr>
              <w:spacing w:line="288" w:lineRule="auto"/>
              <w:rPr>
                <w:rFonts w:ascii="宋体" w:hAnsi="宋体" w:cs="宋体"/>
                <w:sz w:val="24"/>
              </w:rPr>
            </w:pPr>
            <w:r>
              <w:rPr>
                <w:rFonts w:hint="eastAsia" w:ascii="宋体" w:hAnsi="宋体" w:cs="宋体"/>
                <w:b/>
                <w:bCs/>
                <w:sz w:val="24"/>
              </w:rPr>
              <w:t>合格投标人的资格要求：</w:t>
            </w:r>
            <w:r>
              <w:rPr>
                <w:rFonts w:hint="eastAsia" w:ascii="宋体" w:hAnsi="宋体" w:cs="宋体"/>
                <w:sz w:val="24"/>
              </w:rPr>
              <w:t>详见《投标邀请书》</w:t>
            </w:r>
          </w:p>
        </w:tc>
      </w:tr>
      <w:tr w14:paraId="417E6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21066E3A">
            <w:pPr>
              <w:adjustRightInd w:val="0"/>
              <w:snapToGrid w:val="0"/>
              <w:spacing w:line="288" w:lineRule="auto"/>
              <w:ind w:right="26"/>
              <w:jc w:val="center"/>
              <w:rPr>
                <w:rFonts w:ascii="宋体" w:hAnsi="宋体" w:cs="宋体"/>
                <w:sz w:val="24"/>
              </w:rPr>
            </w:pPr>
            <w:r>
              <w:rPr>
                <w:rFonts w:hint="eastAsia" w:ascii="宋体" w:hAnsi="宋体" w:cs="宋体"/>
                <w:sz w:val="24"/>
              </w:rPr>
              <w:t>3.1.</w:t>
            </w:r>
          </w:p>
        </w:tc>
        <w:tc>
          <w:tcPr>
            <w:tcW w:w="8160" w:type="dxa"/>
          </w:tcPr>
          <w:p w14:paraId="2E20AC39">
            <w:pPr>
              <w:adjustRightInd w:val="0"/>
              <w:snapToGrid w:val="0"/>
              <w:spacing w:line="288" w:lineRule="auto"/>
              <w:ind w:right="28"/>
              <w:rPr>
                <w:rFonts w:ascii="宋体" w:hAnsi="宋体" w:cs="宋体"/>
                <w:b/>
                <w:bCs/>
                <w:sz w:val="24"/>
              </w:rPr>
            </w:pPr>
            <w:r>
              <w:rPr>
                <w:rFonts w:hint="eastAsia" w:ascii="宋体" w:hAnsi="宋体" w:cs="宋体"/>
                <w:b/>
                <w:bCs/>
                <w:sz w:val="24"/>
              </w:rPr>
              <w:t>合格的货物和服务：</w:t>
            </w:r>
          </w:p>
          <w:p w14:paraId="6F668150">
            <w:pPr>
              <w:adjustRightInd w:val="0"/>
              <w:snapToGrid w:val="0"/>
              <w:spacing w:line="264" w:lineRule="auto"/>
              <w:ind w:firstLine="480" w:firstLineChars="200"/>
              <w:rPr>
                <w:rFonts w:ascii="宋体" w:hAnsi="宋体" w:cs="宋体"/>
                <w:sz w:val="24"/>
              </w:rPr>
            </w:pPr>
            <w:r>
              <w:rPr>
                <w:rFonts w:hint="eastAsia" w:ascii="宋体" w:hAnsi="宋体" w:cs="宋体"/>
                <w:sz w:val="24"/>
              </w:rPr>
              <w:t>1、本次招标第一章《投标邀请书》注“不接受进口产品或服务”的投标货物和服务的原产地应为中华人民共和国境内。</w:t>
            </w:r>
          </w:p>
          <w:p w14:paraId="5067076E">
            <w:pPr>
              <w:adjustRightInd w:val="0"/>
              <w:snapToGrid w:val="0"/>
              <w:spacing w:line="264" w:lineRule="auto"/>
              <w:ind w:firstLine="480" w:firstLineChars="200"/>
              <w:rPr>
                <w:rFonts w:ascii="宋体" w:hAnsi="宋体" w:cs="宋体"/>
                <w:sz w:val="24"/>
              </w:rPr>
            </w:pPr>
            <w:r>
              <w:rPr>
                <w:rFonts w:hint="eastAsia" w:ascii="宋体" w:hAnsi="宋体" w:cs="宋体"/>
                <w:sz w:val="24"/>
              </w:rPr>
              <w:t>2、本次招标第一章《投标邀请书》标注“接受进口产品或服务”的投标货物和服务的原产地应为中华人民共和国境内或来自与之有正常贸易往来的国家或地区。</w:t>
            </w:r>
          </w:p>
          <w:p w14:paraId="0B12F17C">
            <w:pPr>
              <w:adjustRightInd w:val="0"/>
              <w:snapToGrid w:val="0"/>
              <w:spacing w:line="264" w:lineRule="auto"/>
              <w:ind w:firstLine="480" w:firstLineChars="200"/>
            </w:pPr>
            <w:r>
              <w:rPr>
                <w:rFonts w:hint="eastAsia" w:ascii="宋体" w:hAnsi="宋体" w:cs="宋体"/>
                <w:sz w:val="24"/>
              </w:rPr>
              <w:t>3、本次招标第一章《投标邀请书》未标注是否“接受进口产品或服务”的投标货物和服务的原产地应为中华人民共和国境内。</w:t>
            </w:r>
          </w:p>
        </w:tc>
      </w:tr>
      <w:tr w14:paraId="7233C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47D65187">
            <w:pPr>
              <w:adjustRightInd w:val="0"/>
              <w:snapToGrid w:val="0"/>
              <w:spacing w:line="288" w:lineRule="auto"/>
              <w:ind w:right="26"/>
              <w:jc w:val="center"/>
              <w:rPr>
                <w:rFonts w:ascii="宋体" w:hAnsi="宋体" w:cs="宋体"/>
                <w:sz w:val="24"/>
              </w:rPr>
            </w:pPr>
            <w:r>
              <w:rPr>
                <w:rFonts w:hint="eastAsia" w:ascii="宋体" w:hAnsi="宋体" w:cs="宋体"/>
                <w:sz w:val="24"/>
              </w:rPr>
              <w:t>5.1.</w:t>
            </w:r>
          </w:p>
        </w:tc>
        <w:tc>
          <w:tcPr>
            <w:tcW w:w="8160" w:type="dxa"/>
            <w:vAlign w:val="center"/>
          </w:tcPr>
          <w:p w14:paraId="334F6C3A">
            <w:pPr>
              <w:adjustRightInd w:val="0"/>
              <w:snapToGrid w:val="0"/>
              <w:spacing w:line="288" w:lineRule="auto"/>
              <w:ind w:right="28"/>
              <w:rPr>
                <w:rFonts w:ascii="宋体" w:hAnsi="宋体" w:cs="宋体"/>
                <w:sz w:val="24"/>
              </w:rPr>
            </w:pPr>
            <w:r>
              <w:rPr>
                <w:rFonts w:hint="eastAsia" w:ascii="宋体" w:hAnsi="宋体" w:cs="宋体"/>
                <w:b/>
                <w:bCs/>
                <w:sz w:val="24"/>
              </w:rPr>
              <w:t>踏勘现场：</w:t>
            </w:r>
            <w:r>
              <w:rPr>
                <w:rFonts w:hint="eastAsia" w:ascii="宋体" w:hAnsi="宋体" w:cs="宋体"/>
                <w:sz w:val="24"/>
              </w:rPr>
              <w:t>无</w:t>
            </w:r>
          </w:p>
        </w:tc>
      </w:tr>
      <w:tr w14:paraId="5E70C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44662009">
            <w:pPr>
              <w:adjustRightInd w:val="0"/>
              <w:snapToGrid w:val="0"/>
              <w:spacing w:line="288" w:lineRule="auto"/>
              <w:ind w:right="26"/>
              <w:jc w:val="center"/>
              <w:rPr>
                <w:rFonts w:ascii="宋体" w:hAnsi="宋体" w:cs="宋体"/>
                <w:sz w:val="24"/>
              </w:rPr>
            </w:pPr>
            <w:r>
              <w:rPr>
                <w:rFonts w:hint="eastAsia" w:ascii="宋体" w:hAnsi="宋体" w:cs="宋体"/>
                <w:sz w:val="24"/>
              </w:rPr>
              <w:t>10.1.</w:t>
            </w:r>
          </w:p>
        </w:tc>
        <w:tc>
          <w:tcPr>
            <w:tcW w:w="8160" w:type="dxa"/>
            <w:vAlign w:val="center"/>
          </w:tcPr>
          <w:p w14:paraId="31C2C830">
            <w:pPr>
              <w:adjustRightInd w:val="0"/>
              <w:snapToGrid w:val="0"/>
              <w:spacing w:line="288" w:lineRule="auto"/>
              <w:ind w:right="28"/>
              <w:rPr>
                <w:rFonts w:ascii="宋体" w:hAnsi="宋体" w:cs="宋体"/>
                <w:sz w:val="24"/>
              </w:rPr>
            </w:pPr>
            <w:r>
              <w:rPr>
                <w:rFonts w:hint="eastAsia" w:ascii="宋体" w:hAnsi="宋体" w:cs="宋体"/>
                <w:b/>
                <w:bCs/>
                <w:sz w:val="24"/>
              </w:rPr>
              <w:t>投标语言：</w:t>
            </w:r>
            <w:r>
              <w:rPr>
                <w:rFonts w:hint="eastAsia" w:ascii="宋体" w:hAnsi="宋体" w:cs="宋体"/>
                <w:sz w:val="24"/>
              </w:rPr>
              <w:t>中文（有关产品型号、专用名词等可除外）</w:t>
            </w:r>
          </w:p>
        </w:tc>
      </w:tr>
      <w:tr w14:paraId="52802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100169C5">
            <w:pPr>
              <w:adjustRightInd w:val="0"/>
              <w:snapToGrid w:val="0"/>
              <w:spacing w:line="288" w:lineRule="auto"/>
              <w:ind w:right="26"/>
              <w:jc w:val="center"/>
              <w:rPr>
                <w:rFonts w:ascii="宋体" w:hAnsi="宋体" w:cs="宋体"/>
                <w:sz w:val="24"/>
              </w:rPr>
            </w:pPr>
            <w:r>
              <w:rPr>
                <w:rFonts w:hint="eastAsia" w:ascii="宋体" w:hAnsi="宋体" w:cs="宋体"/>
                <w:sz w:val="24"/>
              </w:rPr>
              <w:t>11.1.</w:t>
            </w:r>
          </w:p>
        </w:tc>
        <w:tc>
          <w:tcPr>
            <w:tcW w:w="8160" w:type="dxa"/>
            <w:vAlign w:val="center"/>
          </w:tcPr>
          <w:p w14:paraId="12511A87">
            <w:pPr>
              <w:adjustRightInd w:val="0"/>
              <w:snapToGrid w:val="0"/>
              <w:spacing w:line="288" w:lineRule="auto"/>
              <w:ind w:right="28"/>
              <w:rPr>
                <w:rFonts w:ascii="宋体" w:hAnsi="宋体" w:cs="宋体"/>
                <w:sz w:val="24"/>
              </w:rPr>
            </w:pPr>
            <w:r>
              <w:rPr>
                <w:rFonts w:hint="eastAsia" w:ascii="宋体" w:hAnsi="宋体" w:cs="宋体"/>
                <w:sz w:val="24"/>
              </w:rPr>
              <w:t>不接受选择性报价。</w:t>
            </w:r>
          </w:p>
        </w:tc>
      </w:tr>
      <w:tr w14:paraId="3FD88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638" w:type="dxa"/>
            <w:gridSpan w:val="2"/>
            <w:vAlign w:val="center"/>
          </w:tcPr>
          <w:p w14:paraId="56B09F10">
            <w:pPr>
              <w:adjustRightInd w:val="0"/>
              <w:snapToGrid w:val="0"/>
              <w:ind w:right="26"/>
              <w:jc w:val="center"/>
              <w:rPr>
                <w:rFonts w:ascii="宋体" w:hAnsi="宋体" w:cs="宋体"/>
                <w:sz w:val="24"/>
              </w:rPr>
            </w:pPr>
            <w:r>
              <w:rPr>
                <w:rFonts w:hint="eastAsia" w:ascii="宋体" w:hAnsi="宋体" w:cs="宋体"/>
                <w:b/>
                <w:sz w:val="24"/>
              </w:rPr>
              <w:t>投标价格和币种</w:t>
            </w:r>
          </w:p>
        </w:tc>
      </w:tr>
      <w:tr w14:paraId="20B07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3543E449">
            <w:pPr>
              <w:adjustRightInd w:val="0"/>
              <w:snapToGrid w:val="0"/>
              <w:spacing w:line="288" w:lineRule="auto"/>
              <w:ind w:right="26"/>
              <w:jc w:val="center"/>
              <w:rPr>
                <w:rFonts w:ascii="宋体" w:hAnsi="宋体" w:cs="宋体"/>
                <w:sz w:val="24"/>
              </w:rPr>
            </w:pPr>
            <w:r>
              <w:rPr>
                <w:rFonts w:hint="eastAsia" w:ascii="宋体" w:hAnsi="宋体" w:cs="宋体"/>
                <w:sz w:val="24"/>
              </w:rPr>
              <w:t>12.9.</w:t>
            </w:r>
          </w:p>
        </w:tc>
        <w:tc>
          <w:tcPr>
            <w:tcW w:w="8160" w:type="dxa"/>
            <w:vAlign w:val="center"/>
          </w:tcPr>
          <w:p w14:paraId="7799100C">
            <w:pPr>
              <w:adjustRightInd w:val="0"/>
              <w:snapToGrid w:val="0"/>
              <w:spacing w:line="264" w:lineRule="auto"/>
              <w:ind w:right="26"/>
              <w:rPr>
                <w:rFonts w:ascii="宋体" w:hAnsi="宋体" w:cs="宋体"/>
                <w:sz w:val="24"/>
              </w:rPr>
            </w:pPr>
            <w:r>
              <w:rPr>
                <w:rFonts w:hint="eastAsia" w:ascii="宋体" w:hAnsi="宋体" w:cs="宋体"/>
                <w:b/>
                <w:bCs/>
                <w:sz w:val="24"/>
              </w:rPr>
              <w:t>服务地点：</w:t>
            </w:r>
            <w:r>
              <w:rPr>
                <w:rFonts w:hint="eastAsia" w:ascii="宋体" w:hAnsi="宋体" w:cs="宋体"/>
                <w:sz w:val="24"/>
              </w:rPr>
              <w:t>中国医学科学院肿瘤医院深圳医院指定地点</w:t>
            </w:r>
          </w:p>
        </w:tc>
      </w:tr>
      <w:tr w14:paraId="51D3C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69EAA16B">
            <w:pPr>
              <w:adjustRightInd w:val="0"/>
              <w:snapToGrid w:val="0"/>
              <w:spacing w:line="288" w:lineRule="auto"/>
              <w:ind w:right="26"/>
              <w:jc w:val="center"/>
              <w:rPr>
                <w:rFonts w:ascii="宋体" w:hAnsi="宋体" w:cs="宋体"/>
                <w:sz w:val="24"/>
              </w:rPr>
            </w:pPr>
            <w:r>
              <w:rPr>
                <w:rFonts w:hint="eastAsia" w:ascii="宋体" w:hAnsi="宋体" w:cs="宋体"/>
                <w:sz w:val="24"/>
              </w:rPr>
              <w:t>13.1.</w:t>
            </w:r>
          </w:p>
        </w:tc>
        <w:tc>
          <w:tcPr>
            <w:tcW w:w="8160" w:type="dxa"/>
            <w:vAlign w:val="center"/>
          </w:tcPr>
          <w:p w14:paraId="788B6422">
            <w:pPr>
              <w:adjustRightInd w:val="0"/>
              <w:snapToGrid w:val="0"/>
              <w:spacing w:line="288" w:lineRule="auto"/>
              <w:ind w:right="26"/>
              <w:rPr>
                <w:rFonts w:ascii="宋体" w:hAnsi="宋体" w:cs="宋体"/>
                <w:sz w:val="24"/>
              </w:rPr>
            </w:pPr>
            <w:r>
              <w:rPr>
                <w:rFonts w:hint="eastAsia" w:ascii="宋体" w:hAnsi="宋体" w:cs="宋体"/>
                <w:b/>
                <w:bCs/>
                <w:sz w:val="24"/>
              </w:rPr>
              <w:t>投标币种：</w:t>
            </w:r>
            <w:r>
              <w:rPr>
                <w:rFonts w:hint="eastAsia" w:ascii="宋体" w:hAnsi="宋体" w:cs="宋体"/>
                <w:sz w:val="24"/>
              </w:rPr>
              <w:t>人民币</w:t>
            </w:r>
          </w:p>
        </w:tc>
      </w:tr>
      <w:tr w14:paraId="4C29DB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638" w:type="dxa"/>
            <w:gridSpan w:val="2"/>
            <w:vAlign w:val="center"/>
          </w:tcPr>
          <w:p w14:paraId="39737E4B">
            <w:pPr>
              <w:adjustRightInd w:val="0"/>
              <w:snapToGrid w:val="0"/>
              <w:ind w:right="26"/>
              <w:jc w:val="center"/>
              <w:rPr>
                <w:rFonts w:ascii="宋体" w:hAnsi="宋体" w:cs="宋体"/>
                <w:sz w:val="24"/>
              </w:rPr>
            </w:pPr>
            <w:r>
              <w:rPr>
                <w:rFonts w:hint="eastAsia" w:ascii="宋体" w:hAnsi="宋体" w:cs="宋体"/>
                <w:b/>
                <w:sz w:val="24"/>
              </w:rPr>
              <w:t>标书的准备、递交和评审</w:t>
            </w:r>
          </w:p>
        </w:tc>
      </w:tr>
      <w:tr w14:paraId="0AA9F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15D499C6">
            <w:pPr>
              <w:adjustRightInd w:val="0"/>
              <w:snapToGrid w:val="0"/>
              <w:ind w:right="26"/>
              <w:jc w:val="center"/>
              <w:rPr>
                <w:rFonts w:ascii="宋体" w:hAnsi="宋体" w:cs="宋体"/>
                <w:sz w:val="24"/>
              </w:rPr>
            </w:pPr>
            <w:r>
              <w:rPr>
                <w:rFonts w:hint="eastAsia" w:ascii="宋体" w:hAnsi="宋体" w:cs="宋体"/>
                <w:sz w:val="24"/>
              </w:rPr>
              <w:t>18.1.</w:t>
            </w:r>
          </w:p>
        </w:tc>
        <w:tc>
          <w:tcPr>
            <w:tcW w:w="8160" w:type="dxa"/>
            <w:vAlign w:val="center"/>
          </w:tcPr>
          <w:p w14:paraId="3AA176F0">
            <w:pPr>
              <w:adjustRightInd w:val="0"/>
              <w:snapToGrid w:val="0"/>
              <w:spacing w:line="288" w:lineRule="auto"/>
              <w:ind w:right="26"/>
              <w:rPr>
                <w:rFonts w:ascii="宋体" w:hAnsi="宋体" w:cs="宋体"/>
                <w:sz w:val="24"/>
              </w:rPr>
            </w:pPr>
            <w:r>
              <w:rPr>
                <w:rFonts w:hint="eastAsia" w:ascii="宋体" w:hAnsi="宋体" w:cs="宋体"/>
                <w:b/>
                <w:bCs/>
                <w:sz w:val="24"/>
              </w:rPr>
              <w:t>投标有效期：</w:t>
            </w:r>
            <w:r>
              <w:rPr>
                <w:rFonts w:hint="eastAsia" w:ascii="宋体" w:hAnsi="宋体" w:cs="宋体"/>
                <w:sz w:val="24"/>
              </w:rPr>
              <w:t>开标之日起90日</w:t>
            </w:r>
          </w:p>
        </w:tc>
      </w:tr>
      <w:tr w14:paraId="4B8C7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478" w:type="dxa"/>
            <w:vAlign w:val="center"/>
          </w:tcPr>
          <w:p w14:paraId="67411A5C">
            <w:pPr>
              <w:adjustRightInd w:val="0"/>
              <w:snapToGrid w:val="0"/>
              <w:ind w:right="26"/>
              <w:jc w:val="center"/>
              <w:rPr>
                <w:rFonts w:ascii="宋体" w:hAnsi="宋体" w:cs="宋体"/>
                <w:sz w:val="24"/>
              </w:rPr>
            </w:pPr>
            <w:r>
              <w:rPr>
                <w:rFonts w:hint="eastAsia" w:ascii="宋体" w:hAnsi="宋体" w:cs="宋体"/>
                <w:sz w:val="24"/>
              </w:rPr>
              <w:t>19.1.</w:t>
            </w:r>
          </w:p>
        </w:tc>
        <w:tc>
          <w:tcPr>
            <w:tcW w:w="8160" w:type="dxa"/>
          </w:tcPr>
          <w:p w14:paraId="2AA0DFAB">
            <w:pPr>
              <w:adjustRightInd w:val="0"/>
              <w:snapToGrid w:val="0"/>
              <w:spacing w:line="264" w:lineRule="auto"/>
              <w:ind w:right="26"/>
              <w:rPr>
                <w:rFonts w:ascii="宋体" w:hAnsi="宋体" w:cs="宋体"/>
                <w:sz w:val="24"/>
                <w:highlight w:val="yellow"/>
              </w:rPr>
            </w:pPr>
            <w:r>
              <w:rPr>
                <w:rFonts w:hint="eastAsia" w:ascii="宋体" w:hAnsi="宋体" w:cs="宋体"/>
                <w:b/>
                <w:bCs/>
                <w:sz w:val="24"/>
              </w:rPr>
              <w:t>投标(响应)文件份数：</w:t>
            </w:r>
          </w:p>
          <w:p w14:paraId="49AB34DA">
            <w:pPr>
              <w:adjustRightInd w:val="0"/>
              <w:snapToGrid w:val="0"/>
              <w:spacing w:line="264" w:lineRule="auto"/>
              <w:ind w:right="26"/>
              <w:rPr>
                <w:rFonts w:ascii="宋体" w:hAnsi="宋体" w:cs="宋体"/>
                <w:sz w:val="24"/>
              </w:rPr>
            </w:pPr>
            <w:r>
              <w:rPr>
                <w:rFonts w:hint="eastAsia" w:ascii="宋体" w:hAnsi="宋体" w:cs="宋体"/>
                <w:sz w:val="24"/>
              </w:rPr>
              <w:t>纸质文件一正五副，一份USB接口设备或CD－R光盘存储的投标文件电子文档。</w:t>
            </w:r>
          </w:p>
          <w:p w14:paraId="07D7DC2D">
            <w:pPr>
              <w:adjustRightInd w:val="0"/>
              <w:snapToGrid w:val="0"/>
              <w:spacing w:line="264" w:lineRule="auto"/>
              <w:ind w:right="26"/>
              <w:rPr>
                <w:rFonts w:ascii="宋体" w:hAnsi="宋体" w:cs="宋体"/>
                <w:sz w:val="24"/>
              </w:rPr>
            </w:pPr>
            <w:r>
              <w:rPr>
                <w:rFonts w:hint="eastAsia" w:ascii="宋体" w:hAnsi="宋体" w:cs="宋体"/>
                <w:b/>
                <w:bCs/>
                <w:sz w:val="24"/>
              </w:rPr>
              <w:t>注：以上所有投标文件均须密封并由法定代表人或投标文件里的被授权人提交，否则将被拒收或作投标无效处理。</w:t>
            </w:r>
          </w:p>
        </w:tc>
      </w:tr>
      <w:tr w14:paraId="26DAA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04D216FF">
            <w:pPr>
              <w:adjustRightInd w:val="0"/>
              <w:snapToGrid w:val="0"/>
              <w:ind w:right="26"/>
              <w:jc w:val="center"/>
              <w:rPr>
                <w:rFonts w:ascii="宋体" w:hAnsi="宋体" w:cs="宋体"/>
                <w:sz w:val="24"/>
              </w:rPr>
            </w:pPr>
            <w:r>
              <w:rPr>
                <w:rFonts w:hint="eastAsia" w:ascii="宋体" w:hAnsi="宋体" w:cs="宋体"/>
                <w:sz w:val="24"/>
              </w:rPr>
              <w:t>20.2.</w:t>
            </w:r>
          </w:p>
        </w:tc>
        <w:tc>
          <w:tcPr>
            <w:tcW w:w="8160" w:type="dxa"/>
            <w:vAlign w:val="center"/>
          </w:tcPr>
          <w:p w14:paraId="22C1F8CC">
            <w:pPr>
              <w:adjustRightInd w:val="0"/>
              <w:snapToGrid w:val="0"/>
              <w:spacing w:line="288" w:lineRule="auto"/>
              <w:ind w:right="26"/>
              <w:rPr>
                <w:rFonts w:ascii="宋体" w:hAnsi="宋体" w:cs="宋体"/>
                <w:b/>
                <w:bCs/>
                <w:sz w:val="24"/>
              </w:rPr>
            </w:pPr>
            <w:r>
              <w:rPr>
                <w:rFonts w:hint="eastAsia" w:ascii="宋体" w:hAnsi="宋体" w:cs="宋体"/>
                <w:b/>
                <w:bCs/>
                <w:sz w:val="24"/>
              </w:rPr>
              <w:t>投标文件将递交地址：</w:t>
            </w:r>
          </w:p>
          <w:p w14:paraId="76822E17">
            <w:pPr>
              <w:adjustRightInd w:val="0"/>
              <w:snapToGrid w:val="0"/>
              <w:spacing w:line="288" w:lineRule="auto"/>
              <w:ind w:right="26"/>
              <w:rPr>
                <w:rFonts w:ascii="宋体" w:hAnsi="宋体" w:cs="宋体"/>
                <w:sz w:val="24"/>
              </w:rPr>
            </w:pPr>
            <w:r>
              <w:rPr>
                <w:rFonts w:hint="eastAsia" w:ascii="宋体" w:hAnsi="宋体" w:cs="宋体"/>
                <w:b/>
                <w:bCs/>
                <w:color w:val="FF0000"/>
                <w:kern w:val="0"/>
                <w:sz w:val="24"/>
              </w:rPr>
              <w:t>深圳市龙岗区</w:t>
            </w:r>
            <w:r>
              <w:rPr>
                <w:rFonts w:hint="eastAsia" w:ascii="宋体" w:hAnsi="宋体" w:cs="宋体"/>
                <w:b/>
                <w:bCs/>
                <w:color w:val="FF0000"/>
                <w:kern w:val="0"/>
                <w:sz w:val="24"/>
                <w:lang w:eastAsia="zh-CN"/>
              </w:rPr>
              <w:t>宝荷</w:t>
            </w:r>
            <w:r>
              <w:rPr>
                <w:rFonts w:hint="eastAsia" w:ascii="宋体" w:hAnsi="宋体" w:cs="宋体"/>
                <w:b/>
                <w:bCs/>
                <w:color w:val="FF0000"/>
                <w:kern w:val="0"/>
                <w:sz w:val="24"/>
              </w:rPr>
              <w:t>大道</w:t>
            </w:r>
            <w:r>
              <w:rPr>
                <w:rFonts w:hint="eastAsia" w:ascii="宋体" w:hAnsi="宋体" w:cs="宋体"/>
                <w:b/>
                <w:bCs/>
                <w:color w:val="FF0000"/>
                <w:kern w:val="0"/>
                <w:sz w:val="24"/>
                <w:lang w:val="en-US" w:eastAsia="zh-CN"/>
              </w:rPr>
              <w:t>113</w:t>
            </w:r>
            <w:r>
              <w:rPr>
                <w:rFonts w:hint="eastAsia" w:ascii="宋体" w:hAnsi="宋体" w:cs="宋体"/>
                <w:b/>
                <w:bCs/>
                <w:color w:val="FF0000"/>
                <w:kern w:val="0"/>
                <w:sz w:val="24"/>
              </w:rPr>
              <w:t>号</w:t>
            </w:r>
            <w:r>
              <w:rPr>
                <w:rFonts w:hint="eastAsia" w:ascii="宋体" w:hAnsi="宋体" w:cs="宋体"/>
                <w:b/>
                <w:bCs/>
                <w:color w:val="FF0000"/>
                <w:kern w:val="0"/>
                <w:sz w:val="24"/>
                <w:lang w:eastAsia="zh-CN"/>
              </w:rPr>
              <w:t>中国医学科学院肿瘤医院深圳医院行政楼</w:t>
            </w:r>
            <w:r>
              <w:rPr>
                <w:rFonts w:hint="eastAsia" w:ascii="宋体" w:hAnsi="宋体" w:cs="宋体"/>
                <w:b/>
                <w:bCs/>
                <w:color w:val="FF0000"/>
                <w:kern w:val="0"/>
                <w:sz w:val="24"/>
                <w:lang w:val="en-US" w:eastAsia="zh-CN"/>
              </w:rPr>
              <w:t>4楼设备部</w:t>
            </w:r>
          </w:p>
        </w:tc>
      </w:tr>
      <w:tr w14:paraId="66ADC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78970B0F">
            <w:pPr>
              <w:adjustRightInd w:val="0"/>
              <w:snapToGrid w:val="0"/>
              <w:ind w:right="26"/>
              <w:jc w:val="center"/>
              <w:rPr>
                <w:rFonts w:ascii="宋体" w:hAnsi="宋体" w:cs="宋体"/>
                <w:sz w:val="24"/>
              </w:rPr>
            </w:pPr>
            <w:r>
              <w:rPr>
                <w:rFonts w:hint="eastAsia" w:ascii="宋体" w:hAnsi="宋体" w:cs="宋体"/>
                <w:sz w:val="24"/>
              </w:rPr>
              <w:t>21.1.</w:t>
            </w:r>
          </w:p>
        </w:tc>
        <w:tc>
          <w:tcPr>
            <w:tcW w:w="8160" w:type="dxa"/>
            <w:vAlign w:val="center"/>
          </w:tcPr>
          <w:p w14:paraId="6E94F4F6">
            <w:pPr>
              <w:adjustRightInd w:val="0"/>
              <w:snapToGrid w:val="0"/>
              <w:spacing w:line="288" w:lineRule="auto"/>
              <w:ind w:right="26"/>
              <w:rPr>
                <w:rFonts w:ascii="宋体" w:hAnsi="宋体" w:cs="宋体"/>
                <w:sz w:val="24"/>
              </w:rPr>
            </w:pPr>
            <w:r>
              <w:rPr>
                <w:rFonts w:hint="eastAsia" w:ascii="宋体" w:hAnsi="宋体" w:cs="宋体"/>
                <w:b/>
                <w:bCs/>
                <w:sz w:val="24"/>
              </w:rPr>
              <w:t>投标截标时间：</w:t>
            </w:r>
            <w:r>
              <w:rPr>
                <w:rFonts w:hint="eastAsia" w:ascii="宋体" w:hAnsi="宋体" w:cs="宋体"/>
                <w:sz w:val="24"/>
              </w:rPr>
              <w:t>详见《投标邀请书》</w:t>
            </w:r>
          </w:p>
        </w:tc>
      </w:tr>
      <w:tr w14:paraId="643B7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6B9B5614">
            <w:pPr>
              <w:adjustRightInd w:val="0"/>
              <w:snapToGrid w:val="0"/>
              <w:ind w:right="26"/>
              <w:jc w:val="center"/>
              <w:rPr>
                <w:rFonts w:ascii="宋体" w:hAnsi="宋体" w:cs="宋体"/>
                <w:sz w:val="24"/>
              </w:rPr>
            </w:pPr>
            <w:r>
              <w:rPr>
                <w:rFonts w:hint="eastAsia" w:ascii="宋体" w:hAnsi="宋体" w:cs="宋体"/>
                <w:sz w:val="24"/>
              </w:rPr>
              <w:t>24.1.</w:t>
            </w:r>
          </w:p>
        </w:tc>
        <w:tc>
          <w:tcPr>
            <w:tcW w:w="8160" w:type="dxa"/>
            <w:vAlign w:val="center"/>
          </w:tcPr>
          <w:p w14:paraId="18F0D695">
            <w:pPr>
              <w:adjustRightInd w:val="0"/>
              <w:snapToGrid w:val="0"/>
              <w:spacing w:line="264" w:lineRule="auto"/>
              <w:ind w:right="26"/>
              <w:rPr>
                <w:rFonts w:ascii="宋体" w:hAnsi="宋体" w:cs="宋体"/>
                <w:sz w:val="24"/>
              </w:rPr>
            </w:pPr>
            <w:r>
              <w:rPr>
                <w:rFonts w:hint="eastAsia" w:ascii="宋体" w:hAnsi="宋体" w:cs="宋体"/>
                <w:b/>
                <w:bCs/>
                <w:sz w:val="24"/>
              </w:rPr>
              <w:t>开标时间及地点：</w:t>
            </w:r>
            <w:r>
              <w:rPr>
                <w:rFonts w:hint="eastAsia" w:ascii="宋体" w:hAnsi="宋体" w:cs="宋体"/>
                <w:sz w:val="24"/>
              </w:rPr>
              <w:t>详见《投标邀请书》</w:t>
            </w:r>
          </w:p>
        </w:tc>
      </w:tr>
      <w:tr w14:paraId="16572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7C26C61C">
            <w:pPr>
              <w:adjustRightInd w:val="0"/>
              <w:snapToGrid w:val="0"/>
              <w:ind w:right="26"/>
              <w:jc w:val="center"/>
              <w:rPr>
                <w:rFonts w:ascii="宋体" w:hAnsi="宋体" w:cs="宋体"/>
                <w:b/>
                <w:bCs/>
                <w:sz w:val="24"/>
              </w:rPr>
            </w:pPr>
            <w:r>
              <w:rPr>
                <w:rFonts w:hint="eastAsia" w:ascii="宋体" w:hAnsi="宋体" w:cs="宋体"/>
                <w:sz w:val="24"/>
              </w:rPr>
              <w:t>26.2.</w:t>
            </w:r>
          </w:p>
        </w:tc>
        <w:tc>
          <w:tcPr>
            <w:tcW w:w="8160" w:type="dxa"/>
            <w:vAlign w:val="center"/>
          </w:tcPr>
          <w:p w14:paraId="51D52F3E">
            <w:pPr>
              <w:adjustRightInd w:val="0"/>
              <w:snapToGrid w:val="0"/>
              <w:spacing w:line="264" w:lineRule="auto"/>
              <w:ind w:right="26"/>
              <w:rPr>
                <w:rFonts w:ascii="宋体" w:hAnsi="宋体" w:cs="宋体"/>
                <w:b/>
                <w:bCs/>
                <w:sz w:val="24"/>
              </w:rPr>
            </w:pPr>
            <w:r>
              <w:rPr>
                <w:rFonts w:hint="eastAsia" w:ascii="宋体" w:hAnsi="宋体" w:cs="宋体"/>
                <w:b/>
                <w:bCs/>
                <w:sz w:val="24"/>
              </w:rPr>
              <w:t>推荐候选中标供应商（中标候选人）数量详见后附《关键信息表》</w:t>
            </w:r>
          </w:p>
        </w:tc>
      </w:tr>
      <w:tr w14:paraId="62160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69E3CE72">
            <w:pPr>
              <w:adjustRightInd w:val="0"/>
              <w:snapToGrid w:val="0"/>
              <w:ind w:right="26"/>
              <w:jc w:val="center"/>
              <w:rPr>
                <w:rFonts w:ascii="宋体" w:hAnsi="宋体" w:cs="宋体"/>
                <w:sz w:val="24"/>
              </w:rPr>
            </w:pPr>
            <w:r>
              <w:rPr>
                <w:rFonts w:hint="eastAsia" w:ascii="宋体" w:hAnsi="宋体" w:cs="宋体"/>
                <w:sz w:val="24"/>
              </w:rPr>
              <w:t>27.1.3.</w:t>
            </w:r>
          </w:p>
        </w:tc>
        <w:tc>
          <w:tcPr>
            <w:tcW w:w="8160" w:type="dxa"/>
            <w:vAlign w:val="center"/>
          </w:tcPr>
          <w:p w14:paraId="3EEEEC05">
            <w:pPr>
              <w:adjustRightInd w:val="0"/>
              <w:snapToGrid w:val="0"/>
              <w:spacing w:line="264" w:lineRule="auto"/>
              <w:ind w:right="26"/>
              <w:rPr>
                <w:rFonts w:ascii="宋体" w:hAnsi="宋体" w:cs="宋体"/>
                <w:sz w:val="24"/>
              </w:rPr>
            </w:pPr>
            <w:r>
              <w:rPr>
                <w:rFonts w:hint="eastAsia" w:ascii="宋体" w:hAnsi="宋体" w:cs="宋体"/>
                <w:b/>
                <w:bCs/>
                <w:sz w:val="24"/>
              </w:rPr>
              <w:t>投标将被拒绝或作投标无效处理：</w:t>
            </w:r>
            <w:r>
              <w:rPr>
                <w:rFonts w:hint="eastAsia" w:ascii="宋体" w:hAnsi="宋体" w:cs="宋体"/>
                <w:sz w:val="24"/>
              </w:rPr>
              <w:t>无</w:t>
            </w:r>
          </w:p>
        </w:tc>
      </w:tr>
      <w:tr w14:paraId="36E92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785B3FFD">
            <w:pPr>
              <w:adjustRightInd w:val="0"/>
              <w:snapToGrid w:val="0"/>
              <w:ind w:right="26"/>
              <w:jc w:val="center"/>
              <w:rPr>
                <w:rFonts w:ascii="宋体" w:hAnsi="宋体" w:cs="宋体"/>
                <w:sz w:val="24"/>
              </w:rPr>
            </w:pPr>
            <w:r>
              <w:rPr>
                <w:rFonts w:hint="eastAsia" w:ascii="宋体" w:hAnsi="宋体" w:cs="宋体"/>
                <w:sz w:val="24"/>
              </w:rPr>
              <w:t>27.1.4.</w:t>
            </w:r>
          </w:p>
        </w:tc>
        <w:tc>
          <w:tcPr>
            <w:tcW w:w="8160" w:type="dxa"/>
            <w:vAlign w:val="center"/>
          </w:tcPr>
          <w:p w14:paraId="2E5FA93C">
            <w:pPr>
              <w:adjustRightInd w:val="0"/>
              <w:snapToGrid w:val="0"/>
              <w:spacing w:line="264" w:lineRule="auto"/>
              <w:ind w:right="26"/>
              <w:rPr>
                <w:rFonts w:ascii="宋体" w:hAnsi="宋体" w:cs="宋体"/>
                <w:b/>
                <w:bCs/>
                <w:sz w:val="24"/>
              </w:rPr>
            </w:pPr>
            <w:r>
              <w:rPr>
                <w:rFonts w:hint="eastAsia" w:ascii="宋体" w:hAnsi="宋体" w:cs="宋体"/>
                <w:b/>
                <w:bCs/>
                <w:sz w:val="24"/>
              </w:rPr>
              <w:t>初审内容详见后附《关键信息表》</w:t>
            </w:r>
          </w:p>
        </w:tc>
      </w:tr>
      <w:tr w14:paraId="6933E4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44B2A861">
            <w:pPr>
              <w:adjustRightInd w:val="0"/>
              <w:snapToGrid w:val="0"/>
              <w:ind w:right="26"/>
              <w:jc w:val="center"/>
              <w:rPr>
                <w:rFonts w:ascii="宋体" w:hAnsi="宋体" w:cs="宋体"/>
                <w:sz w:val="24"/>
              </w:rPr>
            </w:pPr>
            <w:r>
              <w:rPr>
                <w:rFonts w:hint="eastAsia" w:ascii="宋体" w:hAnsi="宋体" w:cs="宋体"/>
                <w:sz w:val="24"/>
              </w:rPr>
              <w:t>28.</w:t>
            </w:r>
          </w:p>
        </w:tc>
        <w:tc>
          <w:tcPr>
            <w:tcW w:w="8160" w:type="dxa"/>
            <w:vAlign w:val="center"/>
          </w:tcPr>
          <w:p w14:paraId="61294805">
            <w:pPr>
              <w:adjustRightInd w:val="0"/>
              <w:snapToGrid w:val="0"/>
              <w:spacing w:line="264" w:lineRule="auto"/>
              <w:ind w:right="26"/>
              <w:rPr>
                <w:rFonts w:ascii="宋体" w:hAnsi="宋体" w:cs="宋体"/>
                <w:b/>
                <w:bCs/>
                <w:sz w:val="24"/>
              </w:rPr>
            </w:pPr>
            <w:r>
              <w:rPr>
                <w:rFonts w:hint="eastAsia" w:ascii="宋体" w:hAnsi="宋体" w:cs="宋体"/>
                <w:b/>
                <w:bCs/>
                <w:sz w:val="24"/>
              </w:rPr>
              <w:t>是否评定分离详见后附《关键信息表》</w:t>
            </w:r>
          </w:p>
        </w:tc>
      </w:tr>
      <w:tr w14:paraId="2BFFE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78" w:type="dxa"/>
            <w:vAlign w:val="center"/>
          </w:tcPr>
          <w:p w14:paraId="0CAC4637">
            <w:pPr>
              <w:adjustRightInd w:val="0"/>
              <w:snapToGrid w:val="0"/>
              <w:ind w:right="26"/>
              <w:jc w:val="center"/>
              <w:rPr>
                <w:rFonts w:ascii="宋体" w:hAnsi="宋体" w:cs="宋体"/>
                <w:sz w:val="24"/>
              </w:rPr>
            </w:pPr>
            <w:r>
              <w:rPr>
                <w:rFonts w:hint="eastAsia" w:ascii="宋体" w:hAnsi="宋体" w:cs="宋体"/>
                <w:sz w:val="24"/>
              </w:rPr>
              <w:t>35.1.</w:t>
            </w:r>
          </w:p>
        </w:tc>
        <w:tc>
          <w:tcPr>
            <w:tcW w:w="8160" w:type="dxa"/>
            <w:vAlign w:val="center"/>
          </w:tcPr>
          <w:p w14:paraId="2AD38DDC">
            <w:pPr>
              <w:adjustRightInd w:val="0"/>
              <w:snapToGrid w:val="0"/>
              <w:spacing w:line="264" w:lineRule="auto"/>
              <w:ind w:right="26"/>
              <w:rPr>
                <w:rFonts w:ascii="宋体" w:hAnsi="宋体" w:cs="宋体"/>
                <w:b/>
                <w:bCs/>
                <w:sz w:val="24"/>
              </w:rPr>
            </w:pPr>
            <w:r>
              <w:rPr>
                <w:rFonts w:hint="eastAsia" w:ascii="宋体" w:hAnsi="宋体" w:cs="宋体"/>
                <w:b/>
                <w:bCs/>
                <w:sz w:val="24"/>
              </w:rPr>
              <w:t>合同签订地点：</w:t>
            </w:r>
          </w:p>
          <w:p w14:paraId="5AC03748">
            <w:pPr>
              <w:adjustRightInd w:val="0"/>
              <w:snapToGrid w:val="0"/>
              <w:spacing w:line="264" w:lineRule="auto"/>
              <w:ind w:right="26"/>
              <w:rPr>
                <w:rFonts w:ascii="宋体" w:hAnsi="宋体" w:cs="宋体"/>
                <w:sz w:val="24"/>
              </w:rPr>
            </w:pPr>
            <w:r>
              <w:rPr>
                <w:rFonts w:hint="eastAsia" w:ascii="宋体" w:hAnsi="宋体" w:cs="宋体"/>
                <w:sz w:val="24"/>
              </w:rPr>
              <w:t>中国医学科学院肿瘤医院深圳医院指定地点。</w:t>
            </w:r>
          </w:p>
        </w:tc>
      </w:tr>
      <w:tr w14:paraId="16230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1478" w:type="dxa"/>
            <w:vAlign w:val="center"/>
          </w:tcPr>
          <w:p w14:paraId="79F03C0E">
            <w:pPr>
              <w:adjustRightInd w:val="0"/>
              <w:snapToGrid w:val="0"/>
              <w:ind w:right="26"/>
              <w:jc w:val="center"/>
              <w:rPr>
                <w:rFonts w:ascii="宋体" w:hAnsi="宋体" w:cs="宋体"/>
                <w:sz w:val="24"/>
              </w:rPr>
            </w:pPr>
            <w:r>
              <w:rPr>
                <w:rFonts w:hint="eastAsia" w:ascii="宋体" w:hAnsi="宋体" w:cs="宋体"/>
                <w:sz w:val="24"/>
              </w:rPr>
              <w:t>36.1.</w:t>
            </w:r>
          </w:p>
        </w:tc>
        <w:tc>
          <w:tcPr>
            <w:tcW w:w="8160" w:type="dxa"/>
            <w:vAlign w:val="center"/>
          </w:tcPr>
          <w:p w14:paraId="790F5B6F">
            <w:pPr>
              <w:adjustRightInd w:val="0"/>
              <w:snapToGrid w:val="0"/>
              <w:spacing w:line="264" w:lineRule="auto"/>
              <w:ind w:right="26"/>
              <w:rPr>
                <w:rFonts w:hint="eastAsia" w:ascii="宋体" w:hAnsi="宋体" w:eastAsia="宋体" w:cs="宋体"/>
                <w:sz w:val="24"/>
                <w:lang w:eastAsia="zh-CN"/>
              </w:rPr>
            </w:pPr>
            <w:r>
              <w:rPr>
                <w:rFonts w:hint="eastAsia" w:ascii="宋体" w:hAnsi="宋体" w:cs="宋体"/>
                <w:b/>
                <w:bCs/>
                <w:sz w:val="24"/>
              </w:rPr>
              <w:t>履约保证金：详见用户需求书</w:t>
            </w:r>
            <w:r>
              <w:rPr>
                <w:rFonts w:hint="eastAsia" w:ascii="宋体" w:hAnsi="宋体" w:cs="宋体"/>
                <w:sz w:val="24"/>
              </w:rPr>
              <w:t>。</w:t>
            </w:r>
          </w:p>
        </w:tc>
      </w:tr>
      <w:bookmarkEnd w:id="54"/>
    </w:tbl>
    <w:p w14:paraId="05A715F4">
      <w:pPr>
        <w:jc w:val="center"/>
        <w:outlineLvl w:val="2"/>
        <w:rPr>
          <w:rFonts w:ascii="宋体" w:hAnsi="宋体" w:cs="宋体"/>
          <w:b/>
          <w:sz w:val="36"/>
          <w:szCs w:val="36"/>
        </w:rPr>
      </w:pPr>
      <w:r>
        <w:rPr>
          <w:rFonts w:hint="eastAsia" w:ascii="宋体" w:hAnsi="宋体" w:cs="宋体"/>
          <w:u w:val="single"/>
        </w:rPr>
        <w:br w:type="page"/>
      </w:r>
      <w:bookmarkStart w:id="55" w:name="_Toc16388"/>
      <w:r>
        <w:rPr>
          <w:rFonts w:hint="eastAsia" w:ascii="宋体" w:hAnsi="宋体" w:cs="宋体"/>
          <w:b/>
          <w:sz w:val="36"/>
          <w:szCs w:val="36"/>
        </w:rPr>
        <w:t>附：关键信息表</w:t>
      </w:r>
      <w:bookmarkEnd w:id="55"/>
    </w:p>
    <w:p w14:paraId="544CC1B9">
      <w:pPr>
        <w:pStyle w:val="13"/>
        <w:spacing w:before="0" w:after="0"/>
        <w:outlineLvl w:val="2"/>
        <w:rPr>
          <w:rFonts w:ascii="宋体" w:hAnsi="宋体" w:cs="宋体"/>
          <w:bCs w:val="0"/>
          <w:sz w:val="30"/>
          <w:szCs w:val="30"/>
        </w:rPr>
      </w:pPr>
      <w:bookmarkStart w:id="56" w:name="_Toc30400"/>
      <w:r>
        <w:rPr>
          <w:rFonts w:hint="eastAsia" w:ascii="宋体" w:hAnsi="宋体" w:cs="宋体"/>
          <w:bCs w:val="0"/>
          <w:sz w:val="30"/>
          <w:szCs w:val="30"/>
        </w:rPr>
        <w:t>一、初审内容</w:t>
      </w:r>
      <w:bookmarkEnd w:id="56"/>
    </w:p>
    <w:tbl>
      <w:tblPr>
        <w:tblStyle w:val="14"/>
        <w:tblW w:w="96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901"/>
      </w:tblGrid>
      <w:tr w14:paraId="52431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vAlign w:val="center"/>
          </w:tcPr>
          <w:p w14:paraId="626BF9B0">
            <w:pPr>
              <w:pStyle w:val="13"/>
              <w:spacing w:before="0" w:after="0"/>
              <w:outlineLvl w:val="2"/>
              <w:rPr>
                <w:rFonts w:ascii="宋体" w:hAnsi="宋体" w:cs="宋体"/>
                <w:bCs w:val="0"/>
                <w:sz w:val="24"/>
                <w:szCs w:val="24"/>
              </w:rPr>
            </w:pPr>
            <w:bookmarkStart w:id="57" w:name="_Toc11933"/>
            <w:r>
              <w:rPr>
                <w:rFonts w:hint="eastAsia" w:ascii="宋体" w:hAnsi="宋体" w:cs="宋体"/>
                <w:bCs w:val="0"/>
                <w:sz w:val="24"/>
                <w:szCs w:val="24"/>
              </w:rPr>
              <w:t>（一）资格性审查表</w:t>
            </w:r>
            <w:bookmarkEnd w:id="57"/>
          </w:p>
        </w:tc>
      </w:tr>
      <w:tr w14:paraId="4CC46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vAlign w:val="center"/>
          </w:tcPr>
          <w:p w14:paraId="1AED03E3">
            <w:pPr>
              <w:pStyle w:val="13"/>
              <w:spacing w:before="0" w:after="0"/>
              <w:outlineLvl w:val="2"/>
              <w:rPr>
                <w:rFonts w:ascii="宋体" w:hAnsi="宋体" w:cs="宋体"/>
                <w:bCs w:val="0"/>
                <w:sz w:val="24"/>
                <w:szCs w:val="24"/>
              </w:rPr>
            </w:pPr>
            <w:bookmarkStart w:id="58" w:name="_Toc31748"/>
            <w:r>
              <w:rPr>
                <w:rFonts w:hint="eastAsia" w:ascii="宋体" w:hAnsi="宋体" w:cs="宋体"/>
                <w:bCs w:val="0"/>
                <w:sz w:val="24"/>
                <w:szCs w:val="24"/>
              </w:rPr>
              <w:t>序号</w:t>
            </w:r>
            <w:bookmarkEnd w:id="58"/>
          </w:p>
        </w:tc>
        <w:tc>
          <w:tcPr>
            <w:tcW w:w="8901" w:type="dxa"/>
            <w:shd w:val="clear" w:color="auto" w:fill="F1F1F1"/>
            <w:vAlign w:val="center"/>
          </w:tcPr>
          <w:p w14:paraId="671E72BA">
            <w:pPr>
              <w:pStyle w:val="13"/>
              <w:spacing w:before="0" w:after="0"/>
              <w:outlineLvl w:val="2"/>
              <w:rPr>
                <w:rFonts w:ascii="宋体" w:hAnsi="宋体" w:cs="宋体"/>
                <w:bCs w:val="0"/>
                <w:sz w:val="24"/>
                <w:szCs w:val="24"/>
              </w:rPr>
            </w:pPr>
            <w:bookmarkStart w:id="59" w:name="_Toc22852"/>
            <w:r>
              <w:rPr>
                <w:rFonts w:hint="eastAsia" w:ascii="宋体" w:hAnsi="宋体" w:cs="宋体"/>
                <w:bCs w:val="0"/>
                <w:sz w:val="24"/>
                <w:szCs w:val="24"/>
              </w:rPr>
              <w:t>内容</w:t>
            </w:r>
            <w:bookmarkEnd w:id="59"/>
          </w:p>
        </w:tc>
      </w:tr>
      <w:tr w14:paraId="3F4BE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0759F1F">
            <w:pPr>
              <w:pStyle w:val="13"/>
              <w:spacing w:before="0" w:after="0"/>
              <w:outlineLvl w:val="2"/>
              <w:rPr>
                <w:rFonts w:ascii="宋体" w:hAnsi="宋体" w:cs="宋体"/>
                <w:bCs w:val="0"/>
                <w:sz w:val="21"/>
                <w:szCs w:val="21"/>
              </w:rPr>
            </w:pPr>
            <w:bookmarkStart w:id="60" w:name="_Toc17367"/>
            <w:r>
              <w:rPr>
                <w:rFonts w:hint="eastAsia" w:ascii="宋体" w:hAnsi="宋体" w:cs="宋体"/>
                <w:bCs w:val="0"/>
                <w:sz w:val="21"/>
                <w:szCs w:val="21"/>
              </w:rPr>
              <w:t>1</w:t>
            </w:r>
            <w:bookmarkEnd w:id="60"/>
          </w:p>
        </w:tc>
        <w:tc>
          <w:tcPr>
            <w:tcW w:w="8901" w:type="dxa"/>
            <w:vAlign w:val="center"/>
          </w:tcPr>
          <w:p w14:paraId="70F00F0F">
            <w:pPr>
              <w:pStyle w:val="13"/>
              <w:spacing w:before="0" w:after="0"/>
              <w:jc w:val="both"/>
              <w:outlineLvl w:val="2"/>
              <w:rPr>
                <w:rFonts w:ascii="宋体" w:hAnsi="宋体" w:cs="宋体"/>
                <w:bCs w:val="0"/>
                <w:sz w:val="21"/>
                <w:szCs w:val="21"/>
              </w:rPr>
            </w:pPr>
            <w:r>
              <w:rPr>
                <w:rFonts w:hint="eastAsia" w:ascii="宋体" w:hAnsi="宋体" w:cs="宋体"/>
                <w:bCs w:val="0"/>
                <w:sz w:val="21"/>
                <w:szCs w:val="21"/>
              </w:rPr>
              <w:t>营业执照（或事业单位法人证书）等证明资料复印件</w:t>
            </w:r>
          </w:p>
          <w:p w14:paraId="157D41E8">
            <w:pPr>
              <w:pStyle w:val="13"/>
              <w:spacing w:before="0" w:after="0"/>
              <w:jc w:val="both"/>
              <w:outlineLvl w:val="2"/>
              <w:rPr>
                <w:rFonts w:ascii="宋体" w:hAnsi="宋体" w:cs="宋体"/>
                <w:b w:val="0"/>
                <w:sz w:val="21"/>
                <w:szCs w:val="21"/>
              </w:rPr>
            </w:pPr>
            <w:r>
              <w:rPr>
                <w:rFonts w:hint="eastAsia" w:ascii="宋体" w:hAnsi="宋体" w:cs="宋体"/>
                <w:b w:val="0"/>
                <w:sz w:val="21"/>
                <w:szCs w:val="21"/>
              </w:rPr>
              <w:t>包括但不限于：①未按要求提供有效的营业执照或事业单位法人证书等证明资料复印件及“具有独立法人资格或是具有独立承担民事责任能力”的其他证明（如适用）加盖投标人公章；②提供的证书复印件字迹模糊、无法辨认的。</w:t>
            </w:r>
          </w:p>
        </w:tc>
      </w:tr>
      <w:tr w14:paraId="1ACB4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2E7534E3">
            <w:pPr>
              <w:pStyle w:val="13"/>
              <w:spacing w:before="0" w:after="0"/>
              <w:outlineLvl w:val="2"/>
              <w:rPr>
                <w:rFonts w:ascii="宋体" w:hAnsi="宋体" w:cs="宋体"/>
                <w:bCs w:val="0"/>
                <w:sz w:val="21"/>
                <w:szCs w:val="21"/>
              </w:rPr>
            </w:pPr>
            <w:bookmarkStart w:id="61" w:name="_Toc6654"/>
            <w:r>
              <w:rPr>
                <w:rFonts w:hint="eastAsia" w:ascii="宋体" w:hAnsi="宋体" w:cs="宋体"/>
                <w:bCs w:val="0"/>
                <w:sz w:val="21"/>
                <w:szCs w:val="21"/>
              </w:rPr>
              <w:t>2</w:t>
            </w:r>
            <w:bookmarkEnd w:id="61"/>
          </w:p>
        </w:tc>
        <w:tc>
          <w:tcPr>
            <w:tcW w:w="8901" w:type="dxa"/>
            <w:vAlign w:val="center"/>
          </w:tcPr>
          <w:p w14:paraId="5A62A1EE">
            <w:pPr>
              <w:pStyle w:val="13"/>
              <w:spacing w:before="0" w:after="0"/>
              <w:jc w:val="both"/>
              <w:outlineLvl w:val="2"/>
              <w:rPr>
                <w:rFonts w:ascii="宋体" w:hAnsi="宋体" w:cs="宋体"/>
                <w:bCs w:val="0"/>
                <w:sz w:val="21"/>
                <w:szCs w:val="21"/>
              </w:rPr>
            </w:pPr>
            <w:r>
              <w:rPr>
                <w:rFonts w:hint="eastAsia" w:ascii="宋体" w:hAnsi="宋体" w:cs="宋体"/>
                <w:bCs w:val="0"/>
                <w:sz w:val="21"/>
                <w:szCs w:val="21"/>
              </w:rPr>
              <w:t>法定代表人证明书</w:t>
            </w:r>
          </w:p>
          <w:p w14:paraId="7543377E">
            <w:pPr>
              <w:pStyle w:val="13"/>
              <w:spacing w:before="0" w:after="0"/>
              <w:jc w:val="both"/>
              <w:outlineLvl w:val="2"/>
              <w:rPr>
                <w:rFonts w:ascii="宋体" w:hAnsi="宋体" w:cs="宋体"/>
                <w:b w:val="0"/>
                <w:sz w:val="21"/>
                <w:szCs w:val="21"/>
              </w:rPr>
            </w:pPr>
            <w:r>
              <w:rPr>
                <w:rFonts w:hint="eastAsia" w:ascii="宋体" w:hAnsi="宋体" w:cs="宋体"/>
                <w:b w:val="0"/>
                <w:sz w:val="21"/>
                <w:szCs w:val="21"/>
              </w:rPr>
              <w:t>包括但不限于：①未按要求提供有效的法定代表人证明书；②提供的证明书字迹模糊、有意遮挡关键信息导致无法辨认辨识影响审查的。</w:t>
            </w:r>
          </w:p>
        </w:tc>
      </w:tr>
      <w:tr w14:paraId="29371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45BE2B7F">
            <w:pPr>
              <w:pStyle w:val="13"/>
              <w:spacing w:before="0" w:after="0"/>
              <w:outlineLvl w:val="2"/>
              <w:rPr>
                <w:rFonts w:ascii="宋体" w:hAnsi="宋体" w:cs="宋体"/>
                <w:bCs w:val="0"/>
                <w:sz w:val="21"/>
                <w:szCs w:val="21"/>
              </w:rPr>
            </w:pPr>
            <w:bookmarkStart w:id="62" w:name="_Toc23998"/>
            <w:r>
              <w:rPr>
                <w:rFonts w:hint="eastAsia" w:ascii="宋体" w:hAnsi="宋体" w:cs="宋体"/>
                <w:bCs w:val="0"/>
                <w:sz w:val="21"/>
                <w:szCs w:val="21"/>
              </w:rPr>
              <w:t>3</w:t>
            </w:r>
            <w:bookmarkEnd w:id="62"/>
          </w:p>
        </w:tc>
        <w:tc>
          <w:tcPr>
            <w:tcW w:w="8901" w:type="dxa"/>
            <w:vAlign w:val="center"/>
          </w:tcPr>
          <w:p w14:paraId="611A91AC">
            <w:pPr>
              <w:pStyle w:val="13"/>
              <w:spacing w:before="0" w:after="0"/>
              <w:jc w:val="left"/>
              <w:outlineLvl w:val="2"/>
              <w:rPr>
                <w:rFonts w:ascii="宋体" w:hAnsi="宋体" w:cs="宋体"/>
                <w:bCs w:val="0"/>
                <w:sz w:val="21"/>
                <w:szCs w:val="21"/>
              </w:rPr>
            </w:pPr>
            <w:r>
              <w:rPr>
                <w:rFonts w:hint="eastAsia" w:ascii="宋体" w:hAnsi="宋体" w:cs="宋体"/>
                <w:bCs w:val="0"/>
                <w:sz w:val="21"/>
                <w:szCs w:val="21"/>
              </w:rPr>
              <w:t>法定代表人授权书</w:t>
            </w:r>
          </w:p>
          <w:p w14:paraId="03285F62">
            <w:pPr>
              <w:pStyle w:val="13"/>
              <w:spacing w:before="0" w:after="0"/>
              <w:jc w:val="left"/>
              <w:outlineLvl w:val="2"/>
              <w:rPr>
                <w:rFonts w:ascii="宋体" w:hAnsi="宋体" w:cs="宋体"/>
                <w:b w:val="0"/>
                <w:sz w:val="21"/>
                <w:szCs w:val="21"/>
              </w:rPr>
            </w:pPr>
            <w:r>
              <w:rPr>
                <w:rFonts w:hint="eastAsia" w:ascii="宋体" w:hAnsi="宋体" w:cs="宋体"/>
                <w:b w:val="0"/>
                <w:sz w:val="21"/>
                <w:szCs w:val="21"/>
              </w:rPr>
              <w:t>包括但不限于：①如非法定代表人递交投标文件并参与开标仪式的情况下，未提供有效的法定代表人授权书；②提供的委托书字迹模糊、有意遮挡关键信息导致无法辨认辨识影响审查的。</w:t>
            </w:r>
          </w:p>
          <w:p w14:paraId="75339A95">
            <w:pPr>
              <w:pStyle w:val="13"/>
              <w:spacing w:before="0" w:after="0"/>
              <w:jc w:val="left"/>
              <w:outlineLvl w:val="2"/>
              <w:rPr>
                <w:rFonts w:ascii="宋体" w:hAnsi="宋体" w:cs="宋体"/>
                <w:b w:val="0"/>
                <w:sz w:val="21"/>
                <w:szCs w:val="21"/>
              </w:rPr>
            </w:pPr>
            <w:r>
              <w:rPr>
                <w:rFonts w:hint="eastAsia" w:ascii="宋体" w:hAnsi="宋体" w:cs="宋体"/>
                <w:b w:val="0"/>
                <w:sz w:val="21"/>
                <w:szCs w:val="21"/>
              </w:rPr>
              <w:t>注：由法定代表人亲自递交投标文件的，可不用提供《法定代表人授权书》</w:t>
            </w:r>
          </w:p>
        </w:tc>
      </w:tr>
      <w:tr w14:paraId="04631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45F8CA6">
            <w:pPr>
              <w:pStyle w:val="13"/>
              <w:spacing w:before="0" w:after="0"/>
              <w:outlineLvl w:val="2"/>
              <w:rPr>
                <w:rFonts w:ascii="宋体" w:hAnsi="宋体" w:cs="宋体"/>
                <w:bCs w:val="0"/>
                <w:sz w:val="21"/>
                <w:szCs w:val="21"/>
              </w:rPr>
            </w:pPr>
            <w:bookmarkStart w:id="63" w:name="_Toc2413"/>
            <w:r>
              <w:rPr>
                <w:rFonts w:hint="eastAsia" w:ascii="宋体" w:hAnsi="宋体" w:cs="宋体"/>
                <w:bCs w:val="0"/>
                <w:sz w:val="21"/>
                <w:szCs w:val="21"/>
              </w:rPr>
              <w:t>4</w:t>
            </w:r>
            <w:bookmarkEnd w:id="63"/>
          </w:p>
        </w:tc>
        <w:tc>
          <w:tcPr>
            <w:tcW w:w="8901" w:type="dxa"/>
            <w:vAlign w:val="center"/>
          </w:tcPr>
          <w:p w14:paraId="05755AD0">
            <w:pPr>
              <w:pStyle w:val="13"/>
              <w:spacing w:before="0" w:after="0"/>
              <w:jc w:val="both"/>
              <w:outlineLvl w:val="2"/>
              <w:rPr>
                <w:rFonts w:ascii="宋体" w:hAnsi="宋体" w:cs="宋体"/>
                <w:bCs w:val="0"/>
                <w:sz w:val="21"/>
                <w:szCs w:val="21"/>
              </w:rPr>
            </w:pPr>
            <w:r>
              <w:rPr>
                <w:rFonts w:hint="eastAsia" w:ascii="宋体" w:hAnsi="宋体" w:cs="宋体"/>
                <w:bCs w:val="0"/>
                <w:sz w:val="21"/>
                <w:szCs w:val="21"/>
              </w:rPr>
              <w:t>政府采购投标及履约承诺函</w:t>
            </w:r>
          </w:p>
          <w:p w14:paraId="55592336">
            <w:pPr>
              <w:pStyle w:val="13"/>
              <w:spacing w:before="0" w:after="0"/>
              <w:jc w:val="both"/>
              <w:outlineLvl w:val="2"/>
              <w:rPr>
                <w:rFonts w:ascii="宋体" w:hAnsi="宋体" w:cs="宋体"/>
                <w:b w:val="0"/>
                <w:sz w:val="21"/>
                <w:szCs w:val="21"/>
              </w:rPr>
            </w:pPr>
            <w:r>
              <w:rPr>
                <w:rFonts w:hint="eastAsia" w:ascii="宋体" w:hAnsi="宋体" w:cs="宋体"/>
                <w:b w:val="0"/>
                <w:sz w:val="21"/>
                <w:szCs w:val="21"/>
              </w:rPr>
              <w:t>包括但不限于：①未按招标文件要求提供书面承诺并加盖公章；②提供的承诺书字迹模糊、有意遮挡关键信息导致无法辨认辨识影响审查的。</w:t>
            </w:r>
          </w:p>
        </w:tc>
      </w:tr>
      <w:tr w14:paraId="0DC1E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37" w:type="dxa"/>
            <w:vAlign w:val="center"/>
          </w:tcPr>
          <w:p w14:paraId="2050FB89">
            <w:pPr>
              <w:pStyle w:val="13"/>
              <w:spacing w:before="0" w:after="0"/>
              <w:outlineLvl w:val="2"/>
              <w:rPr>
                <w:rFonts w:ascii="宋体" w:hAnsi="宋体" w:cs="宋体"/>
                <w:bCs w:val="0"/>
                <w:sz w:val="21"/>
                <w:szCs w:val="21"/>
              </w:rPr>
            </w:pPr>
            <w:bookmarkStart w:id="64" w:name="_Toc9359"/>
            <w:r>
              <w:rPr>
                <w:rFonts w:hint="eastAsia" w:ascii="宋体" w:hAnsi="宋体" w:cs="宋体"/>
                <w:bCs w:val="0"/>
                <w:sz w:val="21"/>
                <w:szCs w:val="21"/>
              </w:rPr>
              <w:t>5</w:t>
            </w:r>
            <w:bookmarkEnd w:id="64"/>
          </w:p>
        </w:tc>
        <w:tc>
          <w:tcPr>
            <w:tcW w:w="8901" w:type="dxa"/>
            <w:vAlign w:val="center"/>
          </w:tcPr>
          <w:p w14:paraId="018D3871">
            <w:pPr>
              <w:pStyle w:val="13"/>
              <w:spacing w:before="0" w:after="0"/>
              <w:jc w:val="both"/>
              <w:outlineLvl w:val="2"/>
              <w:rPr>
                <w:rFonts w:ascii="宋体" w:hAnsi="宋体" w:cs="宋体"/>
                <w:bCs w:val="0"/>
                <w:sz w:val="21"/>
                <w:szCs w:val="21"/>
              </w:rPr>
            </w:pPr>
            <w:r>
              <w:rPr>
                <w:rFonts w:hint="eastAsia" w:ascii="宋体" w:hAnsi="宋体" w:cs="宋体"/>
                <w:bCs w:val="0"/>
                <w:sz w:val="21"/>
                <w:szCs w:val="21"/>
              </w:rPr>
              <w:t>招标代理服务费承诺书</w:t>
            </w:r>
          </w:p>
          <w:p w14:paraId="124F1F58">
            <w:pPr>
              <w:pStyle w:val="13"/>
              <w:spacing w:before="0" w:after="0"/>
              <w:jc w:val="both"/>
              <w:outlineLvl w:val="2"/>
              <w:rPr>
                <w:rFonts w:ascii="宋体" w:hAnsi="宋体" w:cs="宋体"/>
                <w:b w:val="0"/>
                <w:sz w:val="21"/>
                <w:szCs w:val="21"/>
              </w:rPr>
            </w:pPr>
            <w:r>
              <w:rPr>
                <w:rFonts w:hint="eastAsia" w:ascii="宋体" w:hAnsi="宋体" w:cs="宋体"/>
                <w:b w:val="0"/>
                <w:sz w:val="21"/>
                <w:szCs w:val="21"/>
              </w:rPr>
              <w:t>包括但不限于：①未按招标文件格式要求提供《招标代理服务费承诺书》；②提供的承诺书字迹模糊、有意遮挡关键信息导致无法辨认辨识影响审查的。</w:t>
            </w:r>
          </w:p>
        </w:tc>
      </w:tr>
      <w:tr w14:paraId="2BBCA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53336DE7">
            <w:pPr>
              <w:pStyle w:val="13"/>
              <w:spacing w:before="0" w:after="0"/>
              <w:outlineLvl w:val="2"/>
              <w:rPr>
                <w:rFonts w:ascii="宋体" w:hAnsi="宋体" w:cs="宋体"/>
                <w:bCs w:val="0"/>
                <w:sz w:val="21"/>
                <w:szCs w:val="21"/>
              </w:rPr>
            </w:pPr>
            <w:bookmarkStart w:id="65" w:name="_Toc7811"/>
            <w:r>
              <w:rPr>
                <w:rFonts w:hint="eastAsia" w:ascii="宋体" w:hAnsi="宋体" w:cs="宋体"/>
                <w:bCs w:val="0"/>
                <w:sz w:val="21"/>
                <w:szCs w:val="21"/>
              </w:rPr>
              <w:t>6</w:t>
            </w:r>
            <w:bookmarkEnd w:id="65"/>
          </w:p>
        </w:tc>
        <w:tc>
          <w:tcPr>
            <w:tcW w:w="8901" w:type="dxa"/>
            <w:vAlign w:val="center"/>
          </w:tcPr>
          <w:p w14:paraId="23D25EE0">
            <w:pPr>
              <w:outlineLvl w:val="2"/>
              <w:rPr>
                <w:rFonts w:ascii="宋体" w:hAnsi="宋体" w:cs="宋体"/>
                <w:b/>
                <w:bCs/>
                <w:szCs w:val="21"/>
              </w:rPr>
            </w:pPr>
            <w:r>
              <w:rPr>
                <w:rFonts w:hint="eastAsia" w:ascii="宋体" w:hAnsi="宋体" w:cs="宋体"/>
                <w:b/>
                <w:bCs/>
                <w:szCs w:val="21"/>
              </w:rPr>
              <w:t>投标报价</w:t>
            </w:r>
          </w:p>
          <w:p w14:paraId="7DED9E04">
            <w:pPr>
              <w:rPr>
                <w:rFonts w:ascii="宋体" w:hAnsi="宋体" w:cs="宋体"/>
                <w:szCs w:val="21"/>
              </w:rPr>
            </w:pPr>
            <w:r>
              <w:rPr>
                <w:rFonts w:hint="eastAsia" w:ascii="宋体" w:hAnsi="宋体" w:cs="宋体"/>
                <w:szCs w:val="21"/>
              </w:rPr>
              <w:t>包括但不限于：①投标报价超出招标文件规定的预算控制金额上限的；②投标报价包含价格调整要求的。</w:t>
            </w:r>
          </w:p>
        </w:tc>
      </w:tr>
      <w:tr w14:paraId="0A0CF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5B6088C2">
            <w:pPr>
              <w:pStyle w:val="13"/>
              <w:spacing w:before="0" w:after="0"/>
              <w:outlineLvl w:val="2"/>
              <w:rPr>
                <w:rFonts w:ascii="宋体" w:hAnsi="宋体" w:cs="宋体"/>
                <w:bCs w:val="0"/>
                <w:sz w:val="21"/>
                <w:szCs w:val="21"/>
              </w:rPr>
            </w:pPr>
            <w:bookmarkStart w:id="66" w:name="_Toc26706"/>
            <w:r>
              <w:rPr>
                <w:rFonts w:hint="eastAsia" w:ascii="宋体" w:hAnsi="宋体" w:cs="宋体"/>
                <w:bCs w:val="0"/>
                <w:sz w:val="21"/>
                <w:szCs w:val="21"/>
              </w:rPr>
              <w:t>7</w:t>
            </w:r>
            <w:bookmarkEnd w:id="66"/>
          </w:p>
        </w:tc>
        <w:tc>
          <w:tcPr>
            <w:tcW w:w="8901" w:type="dxa"/>
            <w:vAlign w:val="center"/>
          </w:tcPr>
          <w:p w14:paraId="1004A5E2">
            <w:pPr>
              <w:pStyle w:val="13"/>
              <w:spacing w:before="0" w:after="0"/>
              <w:jc w:val="both"/>
              <w:outlineLvl w:val="2"/>
              <w:rPr>
                <w:rFonts w:ascii="宋体" w:hAnsi="宋体" w:cs="宋体"/>
                <w:sz w:val="21"/>
                <w:szCs w:val="21"/>
              </w:rPr>
            </w:pPr>
            <w:r>
              <w:rPr>
                <w:rFonts w:hint="eastAsia" w:ascii="宋体" w:hAnsi="宋体" w:cs="宋体"/>
                <w:sz w:val="21"/>
                <w:szCs w:val="21"/>
              </w:rPr>
              <w:t>《供应商基本情况表》、社保缴纳证明材料、股权关系证明材料</w:t>
            </w:r>
          </w:p>
          <w:p w14:paraId="65DCC11F">
            <w:pPr>
              <w:rPr>
                <w:rFonts w:ascii="宋体" w:hAnsi="宋体" w:cs="宋体"/>
                <w:szCs w:val="21"/>
              </w:rPr>
            </w:pPr>
            <w:r>
              <w:rPr>
                <w:rFonts w:hint="eastAsia" w:ascii="宋体" w:hAnsi="宋体" w:cs="宋体"/>
                <w:szCs w:val="21"/>
              </w:rPr>
              <w:t>包括但不限于：①未按采购文件要求提供《供应商基本情况表》、社保缴纳证明材料及股权关系证明材料的；②提供的《供应商基本情况表》字迹模糊、无法辨认的。</w:t>
            </w:r>
          </w:p>
        </w:tc>
      </w:tr>
      <w:tr w14:paraId="7AFCC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2"/>
            <w:shd w:val="clear" w:color="auto" w:fill="F1F1F1"/>
            <w:vAlign w:val="center"/>
          </w:tcPr>
          <w:p w14:paraId="5E8F8190">
            <w:pPr>
              <w:pStyle w:val="13"/>
              <w:spacing w:before="0" w:after="0"/>
              <w:outlineLvl w:val="2"/>
              <w:rPr>
                <w:rFonts w:ascii="宋体" w:hAnsi="宋体" w:cs="宋体"/>
                <w:bCs w:val="0"/>
                <w:sz w:val="24"/>
                <w:szCs w:val="24"/>
              </w:rPr>
            </w:pPr>
            <w:bookmarkStart w:id="67" w:name="_Toc4220"/>
            <w:r>
              <w:rPr>
                <w:rFonts w:hint="eastAsia" w:ascii="宋体" w:hAnsi="宋体" w:cs="宋体"/>
                <w:bCs w:val="0"/>
                <w:sz w:val="24"/>
                <w:szCs w:val="24"/>
              </w:rPr>
              <w:t>（二）符合性审查表</w:t>
            </w:r>
            <w:bookmarkEnd w:id="67"/>
          </w:p>
        </w:tc>
      </w:tr>
      <w:tr w14:paraId="36A1CD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shd w:val="clear" w:color="auto" w:fill="F1F1F1"/>
            <w:vAlign w:val="center"/>
          </w:tcPr>
          <w:p w14:paraId="3E382FAC">
            <w:pPr>
              <w:pStyle w:val="13"/>
              <w:spacing w:before="0" w:after="0"/>
              <w:outlineLvl w:val="2"/>
              <w:rPr>
                <w:rFonts w:ascii="宋体" w:hAnsi="宋体" w:cs="宋体"/>
                <w:bCs w:val="0"/>
                <w:sz w:val="24"/>
                <w:szCs w:val="24"/>
              </w:rPr>
            </w:pPr>
            <w:bookmarkStart w:id="68" w:name="_Toc6702"/>
            <w:r>
              <w:rPr>
                <w:rFonts w:hint="eastAsia" w:ascii="宋体" w:hAnsi="宋体" w:cs="宋体"/>
                <w:bCs w:val="0"/>
                <w:sz w:val="24"/>
                <w:szCs w:val="24"/>
              </w:rPr>
              <w:t>序号</w:t>
            </w:r>
            <w:bookmarkEnd w:id="68"/>
          </w:p>
        </w:tc>
        <w:tc>
          <w:tcPr>
            <w:tcW w:w="8901" w:type="dxa"/>
            <w:shd w:val="clear" w:color="auto" w:fill="F1F1F1"/>
            <w:vAlign w:val="center"/>
          </w:tcPr>
          <w:p w14:paraId="44FACE55">
            <w:pPr>
              <w:pStyle w:val="13"/>
              <w:spacing w:before="0" w:after="0"/>
              <w:outlineLvl w:val="2"/>
              <w:rPr>
                <w:rFonts w:ascii="宋体" w:hAnsi="宋体" w:cs="宋体"/>
                <w:bCs w:val="0"/>
                <w:sz w:val="24"/>
                <w:szCs w:val="24"/>
              </w:rPr>
            </w:pPr>
            <w:bookmarkStart w:id="69" w:name="_Toc31995"/>
            <w:r>
              <w:rPr>
                <w:rFonts w:hint="eastAsia" w:ascii="宋体" w:hAnsi="宋体" w:cs="宋体"/>
                <w:bCs w:val="0"/>
                <w:sz w:val="24"/>
                <w:szCs w:val="24"/>
              </w:rPr>
              <w:t>内容</w:t>
            </w:r>
            <w:bookmarkEnd w:id="69"/>
          </w:p>
        </w:tc>
      </w:tr>
      <w:tr w14:paraId="1E1CC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41FCFE02">
            <w:pPr>
              <w:pStyle w:val="13"/>
              <w:spacing w:before="0" w:after="0"/>
              <w:outlineLvl w:val="2"/>
              <w:rPr>
                <w:rFonts w:hint="eastAsia" w:ascii="宋体" w:hAnsi="宋体" w:eastAsia="宋体" w:cs="宋体"/>
                <w:bCs w:val="0"/>
                <w:sz w:val="21"/>
                <w:szCs w:val="21"/>
                <w:lang w:eastAsia="zh-CN"/>
              </w:rPr>
            </w:pPr>
            <w:r>
              <w:rPr>
                <w:rFonts w:hint="eastAsia" w:ascii="宋体" w:hAnsi="宋体" w:cs="宋体"/>
                <w:bCs w:val="0"/>
                <w:sz w:val="21"/>
                <w:szCs w:val="21"/>
                <w:lang w:val="en-US" w:eastAsia="zh-CN"/>
              </w:rPr>
              <w:t>1</w:t>
            </w:r>
          </w:p>
        </w:tc>
        <w:tc>
          <w:tcPr>
            <w:tcW w:w="8901" w:type="dxa"/>
            <w:vAlign w:val="center"/>
          </w:tcPr>
          <w:p w14:paraId="6404C93C">
            <w:pPr>
              <w:pStyle w:val="13"/>
              <w:spacing w:before="0" w:after="0"/>
              <w:jc w:val="both"/>
              <w:outlineLvl w:val="2"/>
              <w:rPr>
                <w:rFonts w:ascii="宋体" w:hAnsi="宋体" w:cs="宋体"/>
                <w:bCs w:val="0"/>
                <w:sz w:val="21"/>
                <w:szCs w:val="21"/>
              </w:rPr>
            </w:pPr>
            <w:bookmarkStart w:id="70" w:name="_Toc1049"/>
            <w:r>
              <w:rPr>
                <w:rFonts w:hint="eastAsia" w:ascii="宋体" w:hAnsi="宋体" w:cs="宋体"/>
                <w:bCs w:val="0"/>
                <w:sz w:val="21"/>
                <w:szCs w:val="21"/>
              </w:rPr>
              <w:t>服务期限</w:t>
            </w:r>
            <w:bookmarkEnd w:id="70"/>
          </w:p>
          <w:p w14:paraId="073238C4">
            <w:pPr>
              <w:pStyle w:val="13"/>
              <w:spacing w:before="0" w:after="0"/>
              <w:jc w:val="both"/>
              <w:outlineLvl w:val="2"/>
              <w:rPr>
                <w:rFonts w:ascii="宋体" w:hAnsi="宋体" w:cs="宋体"/>
                <w:b w:val="0"/>
                <w:sz w:val="21"/>
                <w:szCs w:val="21"/>
              </w:rPr>
            </w:pPr>
            <w:bookmarkStart w:id="71" w:name="_Toc28470"/>
            <w:r>
              <w:rPr>
                <w:rFonts w:hint="eastAsia" w:ascii="宋体" w:hAnsi="宋体" w:cs="宋体"/>
                <w:b w:val="0"/>
                <w:sz w:val="21"/>
                <w:szCs w:val="21"/>
              </w:rPr>
              <w:t>包括但不限于：①未按要求响应服务期限。</w:t>
            </w:r>
            <w:bookmarkEnd w:id="71"/>
          </w:p>
        </w:tc>
      </w:tr>
      <w:tr w14:paraId="37B317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4578AAD">
            <w:pPr>
              <w:pStyle w:val="13"/>
              <w:spacing w:before="0" w:after="0"/>
              <w:outlineLvl w:val="2"/>
              <w:rPr>
                <w:rFonts w:hint="eastAsia" w:ascii="宋体" w:hAnsi="宋体" w:eastAsia="宋体" w:cs="宋体"/>
                <w:bCs w:val="0"/>
                <w:sz w:val="21"/>
                <w:szCs w:val="21"/>
                <w:lang w:eastAsia="zh-CN"/>
              </w:rPr>
            </w:pPr>
            <w:r>
              <w:rPr>
                <w:rFonts w:hint="eastAsia" w:ascii="宋体" w:hAnsi="宋体" w:cs="宋体"/>
                <w:bCs w:val="0"/>
                <w:sz w:val="21"/>
                <w:szCs w:val="21"/>
                <w:lang w:val="en-US" w:eastAsia="zh-CN"/>
              </w:rPr>
              <w:t>2</w:t>
            </w:r>
          </w:p>
        </w:tc>
        <w:tc>
          <w:tcPr>
            <w:tcW w:w="8901" w:type="dxa"/>
            <w:vAlign w:val="center"/>
          </w:tcPr>
          <w:p w14:paraId="56099581">
            <w:pPr>
              <w:pStyle w:val="13"/>
              <w:spacing w:before="0" w:after="0"/>
              <w:jc w:val="both"/>
              <w:outlineLvl w:val="2"/>
              <w:rPr>
                <w:rFonts w:ascii="宋体" w:hAnsi="宋体" w:cs="宋体"/>
                <w:b w:val="0"/>
                <w:sz w:val="21"/>
                <w:szCs w:val="21"/>
              </w:rPr>
            </w:pPr>
            <w:r>
              <w:rPr>
                <w:rFonts w:hint="eastAsia" w:ascii="宋体" w:hAnsi="宋体" w:cs="宋体"/>
                <w:bCs w:val="0"/>
                <w:sz w:val="21"/>
                <w:szCs w:val="21"/>
              </w:rPr>
              <w:t>所投产品/货物/清单有缺漏项</w:t>
            </w:r>
          </w:p>
        </w:tc>
      </w:tr>
      <w:tr w14:paraId="427E8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38F18C11">
            <w:pPr>
              <w:pStyle w:val="13"/>
              <w:spacing w:before="0" w:after="0"/>
              <w:outlineLvl w:val="2"/>
              <w:rPr>
                <w:rFonts w:hint="eastAsia" w:ascii="宋体" w:hAnsi="宋体" w:eastAsia="宋体" w:cs="宋体"/>
                <w:bCs w:val="0"/>
                <w:sz w:val="21"/>
                <w:szCs w:val="21"/>
                <w:lang w:eastAsia="zh-CN"/>
              </w:rPr>
            </w:pPr>
            <w:r>
              <w:rPr>
                <w:rFonts w:hint="eastAsia" w:ascii="宋体" w:hAnsi="宋体" w:cs="宋体"/>
                <w:bCs w:val="0"/>
                <w:sz w:val="21"/>
                <w:szCs w:val="21"/>
                <w:lang w:val="en-US" w:eastAsia="zh-CN"/>
              </w:rPr>
              <w:t>3</w:t>
            </w:r>
          </w:p>
        </w:tc>
        <w:tc>
          <w:tcPr>
            <w:tcW w:w="8901" w:type="dxa"/>
            <w:vAlign w:val="center"/>
          </w:tcPr>
          <w:p w14:paraId="422846B1">
            <w:pPr>
              <w:pStyle w:val="13"/>
              <w:spacing w:before="0" w:after="0"/>
              <w:jc w:val="both"/>
              <w:outlineLvl w:val="2"/>
              <w:rPr>
                <w:rFonts w:ascii="宋体" w:hAnsi="宋体" w:cs="宋体"/>
                <w:bCs w:val="0"/>
                <w:sz w:val="21"/>
                <w:szCs w:val="21"/>
              </w:rPr>
            </w:pPr>
            <w:r>
              <w:rPr>
                <w:rFonts w:hint="eastAsia" w:ascii="宋体" w:hAnsi="宋体" w:cs="宋体"/>
                <w:bCs w:val="0"/>
                <w:sz w:val="21"/>
                <w:szCs w:val="21"/>
              </w:rPr>
              <w:t>用户需求响应</w:t>
            </w:r>
          </w:p>
          <w:p w14:paraId="1104B3BF">
            <w:pPr>
              <w:pStyle w:val="13"/>
              <w:spacing w:before="0" w:after="0"/>
              <w:jc w:val="both"/>
              <w:outlineLvl w:val="2"/>
              <w:rPr>
                <w:rFonts w:ascii="宋体" w:hAnsi="宋体" w:cs="宋体"/>
                <w:b w:val="0"/>
                <w:sz w:val="21"/>
                <w:szCs w:val="21"/>
              </w:rPr>
            </w:pPr>
            <w:r>
              <w:rPr>
                <w:rFonts w:hint="eastAsia" w:ascii="宋体" w:hAnsi="宋体" w:cs="宋体"/>
                <w:b w:val="0"/>
                <w:sz w:val="21"/>
                <w:szCs w:val="21"/>
              </w:rPr>
              <w:t>包括但不限于：①采购文件加注星号（★）的要求负偏离的；②投标人低于成本报价竞标的；③投标文件附有招标人不能接受的条件的。</w:t>
            </w:r>
          </w:p>
        </w:tc>
      </w:tr>
      <w:tr w14:paraId="166352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vAlign w:val="center"/>
          </w:tcPr>
          <w:p w14:paraId="581BFB2F">
            <w:pPr>
              <w:pStyle w:val="13"/>
              <w:spacing w:before="0" w:after="0"/>
              <w:outlineLvl w:val="2"/>
              <w:rPr>
                <w:rFonts w:hint="eastAsia" w:ascii="宋体" w:hAnsi="宋体" w:eastAsia="宋体" w:cs="宋体"/>
                <w:bCs w:val="0"/>
                <w:sz w:val="21"/>
                <w:szCs w:val="21"/>
                <w:lang w:eastAsia="zh-CN"/>
              </w:rPr>
            </w:pPr>
            <w:r>
              <w:rPr>
                <w:rFonts w:hint="eastAsia" w:ascii="宋体" w:hAnsi="宋体" w:cs="宋体"/>
                <w:bCs w:val="0"/>
                <w:sz w:val="21"/>
                <w:szCs w:val="21"/>
                <w:lang w:val="en-US" w:eastAsia="zh-CN"/>
              </w:rPr>
              <w:t>4</w:t>
            </w:r>
          </w:p>
        </w:tc>
        <w:tc>
          <w:tcPr>
            <w:tcW w:w="8901" w:type="dxa"/>
            <w:vAlign w:val="center"/>
          </w:tcPr>
          <w:p w14:paraId="09BB0BAC">
            <w:pPr>
              <w:pStyle w:val="13"/>
              <w:spacing w:before="0" w:after="0"/>
              <w:jc w:val="left"/>
              <w:outlineLvl w:val="2"/>
              <w:rPr>
                <w:rFonts w:ascii="宋体" w:hAnsi="宋体" w:cs="宋体"/>
                <w:bCs w:val="0"/>
                <w:sz w:val="21"/>
                <w:szCs w:val="21"/>
              </w:rPr>
            </w:pPr>
            <w:r>
              <w:rPr>
                <w:rFonts w:hint="eastAsia" w:ascii="宋体" w:hAnsi="宋体" w:cs="宋体"/>
                <w:bCs w:val="0"/>
                <w:sz w:val="21"/>
                <w:szCs w:val="21"/>
              </w:rPr>
              <w:t>投标文件的有效性、完整性</w:t>
            </w:r>
          </w:p>
          <w:p w14:paraId="76EBCB23">
            <w:pPr>
              <w:pStyle w:val="13"/>
              <w:spacing w:before="0" w:after="0"/>
              <w:jc w:val="left"/>
              <w:outlineLvl w:val="2"/>
              <w:rPr>
                <w:rFonts w:ascii="宋体" w:hAnsi="宋体" w:cs="宋体"/>
                <w:b w:val="0"/>
                <w:sz w:val="21"/>
                <w:szCs w:val="21"/>
              </w:rPr>
            </w:pPr>
            <w:r>
              <w:rPr>
                <w:rFonts w:hint="eastAsia" w:ascii="宋体" w:hAnsi="宋体" w:cs="宋体"/>
                <w:b w:val="0"/>
                <w:sz w:val="21"/>
                <w:szCs w:val="21"/>
              </w:rPr>
              <w:t>包括但不限于：①投标文件的数量不符合要求的；②投标文件无法定代表人或其授权代表签字，或签字人无法定代表人有效授权的；③投标文件的装订、签署、盖章不符合采购文件要求的；④投标文件内容有严重缺漏项的；⑤投标报价有严重缺漏项的；⑥投标文件的关键内容字迹模糊、无法辨认的。</w:t>
            </w:r>
          </w:p>
        </w:tc>
      </w:tr>
      <w:tr w14:paraId="186D8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vAlign w:val="center"/>
          </w:tcPr>
          <w:p w14:paraId="6E83BD7B">
            <w:pPr>
              <w:pStyle w:val="13"/>
              <w:spacing w:before="0" w:after="0"/>
              <w:outlineLvl w:val="2"/>
              <w:rPr>
                <w:rFonts w:hint="eastAsia" w:ascii="宋体" w:hAnsi="宋体" w:eastAsia="宋体" w:cs="宋体"/>
                <w:bCs w:val="0"/>
                <w:sz w:val="21"/>
                <w:szCs w:val="21"/>
                <w:lang w:eastAsia="zh-CN"/>
              </w:rPr>
            </w:pPr>
            <w:r>
              <w:rPr>
                <w:rFonts w:hint="eastAsia" w:ascii="宋体" w:hAnsi="宋体" w:cs="宋体"/>
                <w:bCs w:val="0"/>
                <w:sz w:val="21"/>
                <w:szCs w:val="21"/>
                <w:lang w:val="en-US" w:eastAsia="zh-CN"/>
              </w:rPr>
              <w:t>5</w:t>
            </w:r>
          </w:p>
        </w:tc>
        <w:tc>
          <w:tcPr>
            <w:tcW w:w="8901" w:type="dxa"/>
            <w:vAlign w:val="center"/>
          </w:tcPr>
          <w:p w14:paraId="3384A877">
            <w:pPr>
              <w:pStyle w:val="13"/>
              <w:spacing w:before="0" w:after="0"/>
              <w:jc w:val="both"/>
              <w:outlineLvl w:val="2"/>
              <w:rPr>
                <w:rFonts w:ascii="宋体" w:hAnsi="宋体" w:cs="宋体"/>
                <w:b w:val="0"/>
                <w:sz w:val="21"/>
                <w:szCs w:val="21"/>
              </w:rPr>
            </w:pPr>
            <w:r>
              <w:rPr>
                <w:rFonts w:hint="eastAsia" w:ascii="宋体" w:hAnsi="宋体" w:cs="宋体"/>
                <w:bCs w:val="0"/>
                <w:sz w:val="21"/>
                <w:szCs w:val="21"/>
              </w:rPr>
              <w:t>法律法规及采购文件规定的其它情形</w:t>
            </w:r>
          </w:p>
        </w:tc>
      </w:tr>
    </w:tbl>
    <w:p w14:paraId="1AD3D395">
      <w:pPr>
        <w:pStyle w:val="13"/>
        <w:spacing w:before="0" w:after="0"/>
        <w:outlineLvl w:val="2"/>
        <w:rPr>
          <w:rFonts w:ascii="宋体" w:hAnsi="宋体" w:cs="宋体"/>
          <w:bCs w:val="0"/>
          <w:sz w:val="30"/>
          <w:szCs w:val="30"/>
        </w:rPr>
      </w:pPr>
      <w:bookmarkStart w:id="72" w:name="_Toc30450"/>
      <w:r>
        <w:rPr>
          <w:rFonts w:hint="eastAsia" w:ascii="宋体" w:hAnsi="宋体" w:cs="宋体"/>
          <w:bCs w:val="0"/>
          <w:sz w:val="30"/>
          <w:szCs w:val="30"/>
        </w:rPr>
        <w:t>二、评定分离信息</w:t>
      </w:r>
      <w:bookmarkEnd w:id="72"/>
    </w:p>
    <w:p w14:paraId="08E30406">
      <w:pPr>
        <w:pStyle w:val="2"/>
        <w:rPr>
          <w:szCs w:val="21"/>
        </w:rPr>
      </w:pP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6888"/>
      </w:tblGrid>
      <w:tr w14:paraId="747A6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70EF8F6C">
            <w:pPr>
              <w:pStyle w:val="2"/>
              <w:jc w:val="center"/>
              <w:rPr>
                <w:rFonts w:ascii="宋体" w:hAnsi="宋体" w:cs="宋体"/>
                <w:b/>
                <w:bCs/>
                <w:sz w:val="21"/>
                <w:szCs w:val="21"/>
              </w:rPr>
            </w:pPr>
            <w:r>
              <w:rPr>
                <w:rFonts w:hint="eastAsia" w:ascii="宋体" w:hAnsi="宋体" w:cs="宋体"/>
                <w:b/>
                <w:bCs/>
                <w:sz w:val="21"/>
                <w:szCs w:val="21"/>
              </w:rPr>
              <w:t>是否为评定分离项目</w:t>
            </w:r>
          </w:p>
        </w:tc>
        <w:tc>
          <w:tcPr>
            <w:tcW w:w="6888" w:type="dxa"/>
            <w:vAlign w:val="center"/>
          </w:tcPr>
          <w:p w14:paraId="67EC3D2F">
            <w:pPr>
              <w:pStyle w:val="2"/>
              <w:rPr>
                <w:rFonts w:ascii="宋体" w:hAnsi="宋体" w:cs="宋体"/>
                <w:sz w:val="21"/>
                <w:szCs w:val="21"/>
              </w:rPr>
            </w:pPr>
            <w:r>
              <w:rPr>
                <w:rFonts w:hint="eastAsia" w:ascii="宋体" w:hAnsi="宋体" w:cs="宋体"/>
                <w:sz w:val="21"/>
                <w:szCs w:val="21"/>
              </w:rPr>
              <w:t>否</w:t>
            </w:r>
          </w:p>
        </w:tc>
      </w:tr>
      <w:tr w14:paraId="13AE1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1B03B1FA">
            <w:pPr>
              <w:pStyle w:val="2"/>
              <w:jc w:val="center"/>
              <w:rPr>
                <w:rFonts w:ascii="宋体" w:hAnsi="宋体" w:cs="宋体"/>
                <w:b/>
                <w:bCs/>
                <w:sz w:val="21"/>
                <w:szCs w:val="21"/>
              </w:rPr>
            </w:pPr>
            <w:r>
              <w:rPr>
                <w:rFonts w:hint="eastAsia" w:ascii="宋体" w:hAnsi="宋体" w:cs="宋体"/>
                <w:b/>
                <w:bCs/>
                <w:sz w:val="21"/>
                <w:szCs w:val="21"/>
              </w:rPr>
              <w:t>评标方法</w:t>
            </w:r>
          </w:p>
        </w:tc>
        <w:tc>
          <w:tcPr>
            <w:tcW w:w="6888" w:type="dxa"/>
            <w:vAlign w:val="center"/>
          </w:tcPr>
          <w:p w14:paraId="134BD0C5">
            <w:pPr>
              <w:pStyle w:val="2"/>
              <w:rPr>
                <w:rFonts w:ascii="宋体" w:hAnsi="宋体" w:cs="宋体"/>
                <w:sz w:val="21"/>
                <w:szCs w:val="21"/>
              </w:rPr>
            </w:pPr>
            <w:r>
              <w:rPr>
                <w:rFonts w:hint="eastAsia" w:ascii="宋体" w:hAnsi="宋体" w:cs="宋体"/>
                <w:sz w:val="21"/>
                <w:szCs w:val="21"/>
              </w:rPr>
              <w:t>综合评分法</w:t>
            </w:r>
          </w:p>
        </w:tc>
      </w:tr>
      <w:tr w14:paraId="06862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166A4578">
            <w:pPr>
              <w:pStyle w:val="2"/>
              <w:jc w:val="center"/>
              <w:rPr>
                <w:rFonts w:ascii="宋体" w:hAnsi="宋体" w:cs="宋体"/>
                <w:b/>
                <w:bCs/>
                <w:sz w:val="21"/>
                <w:szCs w:val="21"/>
              </w:rPr>
            </w:pPr>
            <w:r>
              <w:rPr>
                <w:rFonts w:hint="eastAsia" w:ascii="宋体" w:hAnsi="宋体" w:cs="宋体"/>
                <w:b/>
                <w:bCs/>
                <w:sz w:val="21"/>
                <w:szCs w:val="21"/>
              </w:rPr>
              <w:t>定标方法</w:t>
            </w:r>
          </w:p>
        </w:tc>
        <w:tc>
          <w:tcPr>
            <w:tcW w:w="6888" w:type="dxa"/>
            <w:vAlign w:val="center"/>
          </w:tcPr>
          <w:p w14:paraId="36BE70DB">
            <w:pPr>
              <w:pStyle w:val="2"/>
              <w:rPr>
                <w:rFonts w:ascii="宋体" w:hAnsi="宋体" w:cs="宋体"/>
                <w:sz w:val="21"/>
                <w:szCs w:val="21"/>
              </w:rPr>
            </w:pPr>
            <w:r>
              <w:rPr>
                <w:rFonts w:hint="eastAsia" w:ascii="宋体" w:hAnsi="宋体" w:cs="宋体"/>
                <w:sz w:val="21"/>
                <w:szCs w:val="21"/>
              </w:rPr>
              <w:t>按序确定</w:t>
            </w:r>
          </w:p>
        </w:tc>
      </w:tr>
      <w:tr w14:paraId="45E217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4AA24448">
            <w:pPr>
              <w:pStyle w:val="2"/>
              <w:jc w:val="center"/>
              <w:rPr>
                <w:rFonts w:ascii="宋体" w:hAnsi="宋体" w:cs="宋体"/>
                <w:b/>
                <w:bCs/>
                <w:sz w:val="21"/>
                <w:szCs w:val="21"/>
              </w:rPr>
            </w:pPr>
            <w:r>
              <w:rPr>
                <w:rFonts w:hint="eastAsia" w:ascii="宋体" w:hAnsi="宋体" w:cs="宋体"/>
                <w:b/>
                <w:bCs/>
                <w:sz w:val="21"/>
                <w:szCs w:val="21"/>
              </w:rPr>
              <w:t>推荐候选中标供应商（中标候选人）家数</w:t>
            </w:r>
          </w:p>
        </w:tc>
        <w:tc>
          <w:tcPr>
            <w:tcW w:w="6888" w:type="dxa"/>
            <w:vAlign w:val="center"/>
          </w:tcPr>
          <w:p w14:paraId="793101D0">
            <w:pPr>
              <w:pStyle w:val="2"/>
              <w:rPr>
                <w:rFonts w:hint="eastAsia" w:ascii="宋体" w:hAnsi="宋体" w:eastAsia="宋体" w:cs="宋体"/>
                <w:sz w:val="21"/>
                <w:szCs w:val="21"/>
                <w:lang w:eastAsia="zh-CN"/>
              </w:rPr>
            </w:pPr>
            <w:r>
              <w:rPr>
                <w:rFonts w:hint="eastAsia" w:ascii="宋体" w:hAnsi="宋体" w:cs="宋体"/>
                <w:sz w:val="21"/>
                <w:szCs w:val="21"/>
                <w:lang w:val="en-US" w:eastAsia="zh-CN"/>
              </w:rPr>
              <w:t>3</w:t>
            </w:r>
          </w:p>
        </w:tc>
      </w:tr>
      <w:tr w14:paraId="3D30F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50" w:type="dxa"/>
            <w:vAlign w:val="center"/>
          </w:tcPr>
          <w:p w14:paraId="0CAD0C94">
            <w:pPr>
              <w:pStyle w:val="2"/>
              <w:jc w:val="center"/>
              <w:rPr>
                <w:rFonts w:ascii="宋体" w:hAnsi="宋体" w:cs="宋体"/>
                <w:b/>
                <w:bCs/>
                <w:sz w:val="21"/>
                <w:szCs w:val="21"/>
              </w:rPr>
            </w:pPr>
            <w:r>
              <w:rPr>
                <w:rFonts w:hint="eastAsia" w:ascii="宋体" w:hAnsi="宋体" w:cs="宋体"/>
                <w:b/>
                <w:bCs/>
                <w:sz w:val="21"/>
                <w:szCs w:val="21"/>
              </w:rPr>
              <w:t>中标供应商（中标人）家数</w:t>
            </w:r>
          </w:p>
        </w:tc>
        <w:tc>
          <w:tcPr>
            <w:tcW w:w="6888" w:type="dxa"/>
            <w:vAlign w:val="center"/>
          </w:tcPr>
          <w:p w14:paraId="7561BDA4">
            <w:pPr>
              <w:pStyle w:val="2"/>
              <w:rPr>
                <w:rFonts w:hint="eastAsia" w:ascii="宋体" w:hAnsi="宋体" w:eastAsia="宋体" w:cs="宋体"/>
                <w:sz w:val="21"/>
                <w:szCs w:val="21"/>
                <w:lang w:eastAsia="zh-CN"/>
              </w:rPr>
            </w:pPr>
            <w:r>
              <w:rPr>
                <w:rFonts w:hint="eastAsia" w:ascii="宋体" w:hAnsi="宋体" w:cs="宋体"/>
                <w:sz w:val="21"/>
                <w:szCs w:val="21"/>
                <w:lang w:val="en-US" w:eastAsia="zh-CN"/>
              </w:rPr>
              <w:t>3</w:t>
            </w:r>
          </w:p>
        </w:tc>
      </w:tr>
    </w:tbl>
    <w:p w14:paraId="0B6FECD5">
      <w:pPr>
        <w:pStyle w:val="2"/>
        <w:rPr>
          <w:szCs w:val="21"/>
        </w:rPr>
      </w:pPr>
    </w:p>
    <w:p w14:paraId="0D5B4A7F">
      <w:pPr>
        <w:pStyle w:val="13"/>
        <w:spacing w:before="0" w:after="0"/>
        <w:outlineLvl w:val="2"/>
        <w:rPr>
          <w:rFonts w:ascii="宋体" w:hAnsi="宋体" w:cs="宋体"/>
          <w:bCs w:val="0"/>
          <w:sz w:val="30"/>
          <w:szCs w:val="30"/>
        </w:rPr>
      </w:pPr>
      <w:bookmarkStart w:id="73" w:name="_Toc7833"/>
      <w:r>
        <w:rPr>
          <w:rFonts w:hint="eastAsia" w:ascii="宋体" w:hAnsi="宋体" w:cs="宋体"/>
          <w:bCs w:val="0"/>
          <w:sz w:val="30"/>
          <w:szCs w:val="30"/>
        </w:rPr>
        <w:t>三、评标信息</w:t>
      </w:r>
      <w:bookmarkEnd w:id="73"/>
    </w:p>
    <w:tbl>
      <w:tblPr>
        <w:tblStyle w:val="14"/>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177"/>
        <w:gridCol w:w="662"/>
        <w:gridCol w:w="6347"/>
      </w:tblGrid>
      <w:tr w14:paraId="1ABA1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68" w:type="dxa"/>
            <w:vAlign w:val="center"/>
          </w:tcPr>
          <w:p w14:paraId="0C6C4A71">
            <w:pPr>
              <w:jc w:val="center"/>
              <w:rPr>
                <w:rFonts w:hint="eastAsia" w:ascii="宋体" w:hAnsi="宋体" w:eastAsia="宋体" w:cs="宋体"/>
                <w:b/>
                <w:bCs/>
                <w:color w:val="000000"/>
                <w:szCs w:val="21"/>
              </w:rPr>
            </w:pPr>
            <w:r>
              <w:rPr>
                <w:rFonts w:hint="eastAsia" w:ascii="宋体" w:hAnsi="宋体" w:eastAsia="宋体" w:cs="宋体"/>
                <w:b/>
                <w:bCs/>
                <w:color w:val="000000"/>
                <w:szCs w:val="21"/>
              </w:rPr>
              <w:t>类别</w:t>
            </w:r>
          </w:p>
        </w:tc>
        <w:tc>
          <w:tcPr>
            <w:tcW w:w="1177" w:type="dxa"/>
            <w:vAlign w:val="center"/>
          </w:tcPr>
          <w:p w14:paraId="569FA339">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评分项目</w:t>
            </w:r>
          </w:p>
        </w:tc>
        <w:tc>
          <w:tcPr>
            <w:tcW w:w="662" w:type="dxa"/>
            <w:vAlign w:val="center"/>
          </w:tcPr>
          <w:p w14:paraId="19EFE25F">
            <w:pPr>
              <w:jc w:val="center"/>
              <w:rPr>
                <w:rFonts w:hint="eastAsia" w:ascii="宋体" w:hAnsi="宋体" w:eastAsia="宋体" w:cs="宋体"/>
                <w:b/>
                <w:bCs/>
                <w:color w:val="000000"/>
                <w:szCs w:val="21"/>
              </w:rPr>
            </w:pPr>
            <w:r>
              <w:rPr>
                <w:rFonts w:hint="eastAsia" w:ascii="宋体" w:hAnsi="宋体" w:eastAsia="宋体" w:cs="宋体"/>
                <w:b/>
                <w:bCs/>
                <w:color w:val="000000"/>
                <w:szCs w:val="21"/>
              </w:rPr>
              <w:t>权重</w:t>
            </w:r>
          </w:p>
        </w:tc>
        <w:tc>
          <w:tcPr>
            <w:tcW w:w="6347" w:type="dxa"/>
            <w:vAlign w:val="center"/>
          </w:tcPr>
          <w:p w14:paraId="5601505F">
            <w:pPr>
              <w:jc w:val="center"/>
              <w:rPr>
                <w:rFonts w:hint="eastAsia" w:ascii="宋体" w:hAnsi="宋体" w:eastAsia="宋体" w:cs="宋体"/>
                <w:b/>
                <w:bCs/>
                <w:color w:val="000000"/>
                <w:szCs w:val="21"/>
              </w:rPr>
            </w:pPr>
            <w:r>
              <w:rPr>
                <w:rFonts w:hint="eastAsia" w:ascii="宋体" w:hAnsi="宋体" w:eastAsia="宋体" w:cs="宋体"/>
                <w:b/>
                <w:bCs/>
                <w:color w:val="000000"/>
                <w:szCs w:val="21"/>
              </w:rPr>
              <w:t>评分参考及范围</w:t>
            </w:r>
          </w:p>
        </w:tc>
      </w:tr>
      <w:tr w14:paraId="08CEB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Align w:val="center"/>
          </w:tcPr>
          <w:p w14:paraId="5C607DD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价格标（S）</w:t>
            </w:r>
          </w:p>
          <w:p w14:paraId="0BFA794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(总分</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0分)</w:t>
            </w:r>
          </w:p>
        </w:tc>
        <w:tc>
          <w:tcPr>
            <w:tcW w:w="1177" w:type="dxa"/>
            <w:vAlign w:val="center"/>
          </w:tcPr>
          <w:p w14:paraId="0A1D035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投标总价</w:t>
            </w:r>
          </w:p>
        </w:tc>
        <w:tc>
          <w:tcPr>
            <w:tcW w:w="662" w:type="dxa"/>
            <w:vAlign w:val="center"/>
          </w:tcPr>
          <w:p w14:paraId="7EC1A436">
            <w:pPr>
              <w:widowControl/>
              <w:jc w:val="center"/>
              <w:rPr>
                <w:rFonts w:hint="default" w:ascii="宋体" w:hAnsi="宋体" w:eastAsia="宋体" w:cs="宋体"/>
                <w:color w:val="000000"/>
                <w:kern w:val="0"/>
                <w:sz w:val="21"/>
                <w:szCs w:val="21"/>
                <w:lang w:val="en-US" w:bidi="ar"/>
              </w:rPr>
            </w:pPr>
            <w:r>
              <w:rPr>
                <w:rFonts w:hint="eastAsia" w:ascii="宋体" w:hAnsi="宋体" w:cs="宋体"/>
                <w:color w:val="000000"/>
                <w:kern w:val="0"/>
                <w:sz w:val="21"/>
                <w:szCs w:val="21"/>
                <w:lang w:val="en-US" w:eastAsia="zh-CN" w:bidi="ar"/>
              </w:rPr>
              <w:t>10</w:t>
            </w:r>
          </w:p>
        </w:tc>
        <w:tc>
          <w:tcPr>
            <w:tcW w:w="6347" w:type="dxa"/>
          </w:tcPr>
          <w:p w14:paraId="343692FC">
            <w:pPr>
              <w:ind w:firstLine="1"/>
              <w:jc w:val="left"/>
              <w:rPr>
                <w:rFonts w:hint="eastAsia" w:ascii="宋体" w:hAnsi="宋体" w:eastAsia="宋体" w:cs="宋体"/>
                <w:sz w:val="21"/>
                <w:szCs w:val="21"/>
              </w:rPr>
            </w:pPr>
            <w:r>
              <w:rPr>
                <w:rFonts w:hint="eastAsia" w:ascii="宋体" w:hAnsi="宋体" w:eastAsia="宋体" w:cs="宋体"/>
                <w:sz w:val="21"/>
                <w:szCs w:val="21"/>
                <w:lang w:bidi="ar"/>
              </w:rPr>
              <w:t>价格评分仅限于有效投标人。</w:t>
            </w:r>
          </w:p>
          <w:p w14:paraId="3827A647">
            <w:pPr>
              <w:ind w:firstLine="1"/>
              <w:jc w:val="left"/>
              <w:rPr>
                <w:rFonts w:hint="eastAsia" w:ascii="宋体" w:hAnsi="宋体" w:eastAsia="宋体" w:cs="宋体"/>
                <w:sz w:val="21"/>
                <w:szCs w:val="21"/>
              </w:rPr>
            </w:pPr>
            <w:r>
              <w:rPr>
                <w:rFonts w:hint="eastAsia" w:ascii="宋体" w:hAnsi="宋体" w:eastAsia="宋体" w:cs="宋体"/>
                <w:sz w:val="21"/>
                <w:szCs w:val="21"/>
                <w:lang w:bidi="ar"/>
              </w:rPr>
              <w:t>根据财政部令（2017）87号文件等的规定，评标基准价是指满足招标文件要求且通过商务和技术初步审核并根据政府采购相关政策（如符合）调整后价格最低的为基准价，其价格分为满分，计算方法为：</w:t>
            </w:r>
          </w:p>
          <w:p w14:paraId="114CD66F">
            <w:pPr>
              <w:jc w:val="left"/>
              <w:rPr>
                <w:rFonts w:hint="eastAsia" w:ascii="宋体" w:hAnsi="宋体" w:eastAsia="宋体" w:cs="宋体"/>
                <w:sz w:val="21"/>
                <w:szCs w:val="21"/>
                <w:lang w:bidi="ar"/>
              </w:rPr>
            </w:pPr>
            <w:r>
              <w:rPr>
                <w:rFonts w:hint="eastAsia" w:ascii="宋体" w:hAnsi="宋体" w:eastAsia="宋体" w:cs="宋体"/>
                <w:sz w:val="21"/>
                <w:szCs w:val="21"/>
                <w:lang w:bidi="ar"/>
              </w:rPr>
              <w:t>服务费折扣率投标报价得分=（评标基准价/有效投标报价）×</w:t>
            </w:r>
            <w:r>
              <w:rPr>
                <w:rFonts w:hint="eastAsia" w:ascii="宋体" w:hAnsi="宋体" w:cs="宋体"/>
                <w:sz w:val="21"/>
                <w:szCs w:val="21"/>
                <w:lang w:val="en-US" w:eastAsia="zh-CN" w:bidi="ar"/>
              </w:rPr>
              <w:t>10</w:t>
            </w:r>
            <w:r>
              <w:rPr>
                <w:rFonts w:hint="eastAsia" w:ascii="宋体" w:hAnsi="宋体" w:eastAsia="宋体" w:cs="宋体"/>
                <w:sz w:val="21"/>
                <w:szCs w:val="21"/>
                <w:lang w:bidi="ar"/>
              </w:rPr>
              <w:t>。</w:t>
            </w:r>
          </w:p>
          <w:p w14:paraId="697CEE90">
            <w:pPr>
              <w:numPr>
                <w:ilvl w:val="0"/>
                <w:numId w:val="0"/>
              </w:numPr>
              <w:rPr>
                <w:rFonts w:hint="default" w:ascii="宋体" w:hAnsi="宋体" w:cs="宋体"/>
                <w:b/>
                <w:bCs/>
                <w:sz w:val="21"/>
                <w:szCs w:val="21"/>
                <w:lang w:val="en-US" w:eastAsia="zh-CN" w:bidi="ar"/>
              </w:rPr>
            </w:pPr>
            <w:r>
              <w:rPr>
                <w:rFonts w:hint="eastAsia" w:ascii="宋体" w:hAnsi="宋体" w:cs="宋体"/>
                <w:b/>
                <w:bCs/>
                <w:sz w:val="21"/>
                <w:szCs w:val="21"/>
                <w:lang w:val="en-US" w:eastAsia="zh-CN" w:bidi="ar"/>
              </w:rPr>
              <w:t>服务费折扣率</w:t>
            </w:r>
            <w:r>
              <w:rPr>
                <w:rFonts w:hint="eastAsia" w:ascii="宋体" w:hAnsi="宋体" w:cs="宋体"/>
                <w:b/>
                <w:bCs/>
                <w:sz w:val="21"/>
                <w:szCs w:val="21"/>
                <w:lang w:eastAsia="zh-CN" w:bidi="ar"/>
              </w:rPr>
              <w:t>：</w:t>
            </w:r>
            <w:r>
              <w:rPr>
                <w:rFonts w:hint="eastAsia" w:ascii="宋体" w:hAnsi="宋体" w:cs="宋体"/>
                <w:b/>
                <w:bCs/>
                <w:sz w:val="21"/>
                <w:szCs w:val="21"/>
                <w:lang w:val="en-US" w:eastAsia="zh-CN" w:bidi="ar"/>
              </w:rPr>
              <w:t>100%≥服务费折扣率＞0%</w:t>
            </w:r>
          </w:p>
          <w:p w14:paraId="7E4C5A5C">
            <w:pPr>
              <w:rPr>
                <w:rFonts w:hint="eastAsia" w:ascii="宋体" w:hAnsi="宋体" w:eastAsia="宋体" w:cs="宋体"/>
                <w:color w:val="000000"/>
                <w:kern w:val="0"/>
                <w:sz w:val="21"/>
                <w:szCs w:val="21"/>
                <w:lang w:bidi="ar"/>
              </w:rPr>
            </w:pPr>
          </w:p>
        </w:tc>
      </w:tr>
      <w:tr w14:paraId="3E9A3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restart"/>
            <w:vAlign w:val="center"/>
          </w:tcPr>
          <w:p w14:paraId="370166F6">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技术标（J）</w:t>
            </w:r>
          </w:p>
          <w:p w14:paraId="0433D49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总分为</w:t>
            </w:r>
            <w:r>
              <w:rPr>
                <w:rFonts w:hint="eastAsia" w:ascii="宋体" w:hAnsi="宋体" w:cs="宋体"/>
                <w:color w:val="000000"/>
                <w:sz w:val="21"/>
                <w:szCs w:val="21"/>
                <w:lang w:val="en-US" w:eastAsia="zh-CN"/>
              </w:rPr>
              <w:t>65</w:t>
            </w:r>
            <w:r>
              <w:rPr>
                <w:rFonts w:hint="eastAsia" w:ascii="宋体" w:hAnsi="宋体" w:eastAsia="宋体" w:cs="宋体"/>
                <w:color w:val="000000"/>
                <w:sz w:val="21"/>
                <w:szCs w:val="21"/>
                <w:lang w:val="en-US" w:eastAsia="zh-CN"/>
              </w:rPr>
              <w:t>分</w:t>
            </w:r>
            <w:r>
              <w:rPr>
                <w:rFonts w:hint="eastAsia" w:ascii="宋体" w:hAnsi="宋体" w:eastAsia="宋体" w:cs="宋体"/>
                <w:color w:val="000000"/>
                <w:sz w:val="21"/>
                <w:szCs w:val="21"/>
              </w:rPr>
              <w:t>)</w:t>
            </w:r>
          </w:p>
          <w:p w14:paraId="094A708D">
            <w:pPr>
              <w:pStyle w:val="2"/>
              <w:rPr>
                <w:rFonts w:hint="eastAsia" w:ascii="宋体" w:hAnsi="宋体" w:eastAsia="宋体" w:cs="宋体"/>
                <w:sz w:val="21"/>
                <w:szCs w:val="21"/>
                <w:lang w:val="en-US" w:eastAsia="zh-CN"/>
              </w:rPr>
            </w:pPr>
          </w:p>
        </w:tc>
        <w:tc>
          <w:tcPr>
            <w:tcW w:w="1177" w:type="dxa"/>
            <w:vAlign w:val="center"/>
          </w:tcPr>
          <w:p w14:paraId="40A7EA0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en-US"/>
              </w:rPr>
              <w:t>项目实施方案</w:t>
            </w:r>
          </w:p>
        </w:tc>
        <w:tc>
          <w:tcPr>
            <w:tcW w:w="662" w:type="dxa"/>
            <w:vAlign w:val="center"/>
          </w:tcPr>
          <w:p w14:paraId="5F2DF391">
            <w:pPr>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en-US"/>
              </w:rPr>
              <w:t>10</w:t>
            </w:r>
          </w:p>
        </w:tc>
        <w:tc>
          <w:tcPr>
            <w:tcW w:w="6347" w:type="dxa"/>
            <w:vAlign w:val="top"/>
          </w:tcPr>
          <w:p w14:paraId="79E9BC55">
            <w:pPr>
              <w:spacing w:line="240" w:lineRule="auto"/>
              <w:rPr>
                <w:rFonts w:hint="eastAsia" w:ascii="宋体" w:hAnsi="宋体" w:eastAsia="宋体" w:cs="宋体"/>
                <w:color w:val="auto"/>
                <w:sz w:val="21"/>
                <w:szCs w:val="21"/>
                <w:lang w:eastAsia="zh-CN"/>
              </w:rPr>
            </w:pPr>
            <w:r>
              <w:rPr>
                <w:rFonts w:hint="eastAsia" w:ascii="宋体" w:hAnsi="宋体" w:eastAsia="宋体" w:cs="宋体"/>
                <w:b/>
                <w:bCs/>
                <w:sz w:val="21"/>
                <w:szCs w:val="21"/>
              </w:rPr>
              <w:t>（一）评分内容</w:t>
            </w:r>
            <w:r>
              <w:rPr>
                <w:rFonts w:hint="eastAsia" w:ascii="宋体" w:hAnsi="宋体" w:eastAsia="宋体" w:cs="宋体"/>
                <w:b/>
                <w:bCs/>
                <w:sz w:val="21"/>
                <w:szCs w:val="21"/>
                <w:lang w:eastAsia="zh-CN"/>
              </w:rPr>
              <w:t>：</w:t>
            </w:r>
          </w:p>
          <w:p w14:paraId="0513EE01">
            <w:pPr>
              <w:pStyle w:val="6"/>
              <w:spacing w:line="240" w:lineRule="auto"/>
              <w:rPr>
                <w:rFonts w:hint="eastAsia" w:ascii="宋体" w:hAnsi="宋体" w:eastAsia="宋体" w:cs="宋体"/>
                <w:sz w:val="21"/>
                <w:szCs w:val="21"/>
              </w:rPr>
            </w:pPr>
            <w:r>
              <w:rPr>
                <w:rFonts w:hint="eastAsia" w:ascii="宋体" w:hAnsi="宋体" w:eastAsia="宋体" w:cs="宋体"/>
                <w:sz w:val="21"/>
                <w:szCs w:val="21"/>
                <w:lang w:val="en-US" w:eastAsia="en-US"/>
              </w:rPr>
              <w:t>项目实施方案包含但不限于工作内容、工作效率等</w:t>
            </w:r>
            <w:r>
              <w:rPr>
                <w:rFonts w:hint="eastAsia" w:ascii="宋体" w:hAnsi="宋体" w:eastAsia="宋体" w:cs="宋体"/>
                <w:sz w:val="21"/>
                <w:szCs w:val="21"/>
              </w:rPr>
              <w:t>：</w:t>
            </w:r>
          </w:p>
          <w:p w14:paraId="4C490938">
            <w:pPr>
              <w:spacing w:line="240" w:lineRule="auto"/>
              <w:rPr>
                <w:rFonts w:hint="eastAsia" w:ascii="宋体" w:hAnsi="宋体" w:eastAsia="宋体" w:cs="宋体"/>
                <w:b/>
                <w:bCs/>
                <w:sz w:val="21"/>
                <w:szCs w:val="21"/>
                <w:lang w:eastAsia="zh-CN"/>
              </w:rPr>
            </w:pPr>
            <w:r>
              <w:rPr>
                <w:rFonts w:hint="eastAsia" w:ascii="宋体" w:hAnsi="宋体" w:eastAsia="宋体" w:cs="宋体"/>
                <w:b/>
                <w:bCs/>
                <w:sz w:val="21"/>
                <w:szCs w:val="21"/>
              </w:rPr>
              <w:t>（二）评分</w:t>
            </w:r>
            <w:r>
              <w:rPr>
                <w:rFonts w:hint="eastAsia" w:ascii="宋体" w:hAnsi="宋体" w:eastAsia="宋体" w:cs="宋体"/>
                <w:b/>
                <w:bCs/>
                <w:sz w:val="21"/>
                <w:szCs w:val="21"/>
                <w:lang w:val="en-US" w:eastAsia="zh-CN"/>
              </w:rPr>
              <w:t>标准</w:t>
            </w:r>
            <w:r>
              <w:rPr>
                <w:rFonts w:hint="eastAsia" w:ascii="宋体" w:hAnsi="宋体" w:eastAsia="宋体" w:cs="宋体"/>
                <w:b/>
                <w:bCs/>
                <w:sz w:val="21"/>
                <w:szCs w:val="21"/>
                <w:lang w:eastAsia="zh-CN"/>
              </w:rPr>
              <w:t>：</w:t>
            </w:r>
          </w:p>
          <w:p w14:paraId="72C09DD3">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以上内容全部提供得3分，在此基础上进行优良中差评审：</w:t>
            </w:r>
          </w:p>
          <w:p w14:paraId="6018429B">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（1）投标文件响应内容全面。</w:t>
            </w:r>
          </w:p>
          <w:p w14:paraId="56C2D9F8">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（2）投标文件响应内容具体。</w:t>
            </w:r>
          </w:p>
          <w:p w14:paraId="5546DDF0">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（3）投标文件响应内容针对性强。</w:t>
            </w:r>
          </w:p>
          <w:p w14:paraId="4EAB79A0">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（4）投标文件响应内容科学合理。</w:t>
            </w:r>
          </w:p>
          <w:p w14:paraId="2BADA8DD">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（5）投标文件响应内容可执行性强。</w:t>
            </w:r>
          </w:p>
          <w:p w14:paraId="711E49C7">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满足以上五项要求的评价为优，得</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en-US"/>
              </w:rPr>
              <w:t>分。</w:t>
            </w:r>
          </w:p>
          <w:p w14:paraId="53AAFBA6">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满足以上四项要求的评价为良，得</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en-US"/>
              </w:rPr>
              <w:t>分。</w:t>
            </w:r>
          </w:p>
          <w:p w14:paraId="53CD5DB9">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满足以上三项要求的评价为中，得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en-US"/>
              </w:rPr>
              <w:t>分。</w:t>
            </w:r>
          </w:p>
          <w:p w14:paraId="1F43F717">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en-US"/>
              </w:rPr>
              <w:t>其它情况的评价为差，不得分</w:t>
            </w:r>
            <w:r>
              <w:rPr>
                <w:rFonts w:hint="eastAsia" w:ascii="宋体" w:hAnsi="宋体" w:eastAsia="宋体" w:cs="宋体"/>
                <w:color w:val="auto"/>
                <w:sz w:val="21"/>
                <w:szCs w:val="21"/>
              </w:rPr>
              <w:t>。</w:t>
            </w:r>
          </w:p>
          <w:p w14:paraId="1AD3946B">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专家按</w:t>
            </w:r>
            <w:r>
              <w:rPr>
                <w:rFonts w:hint="eastAsia" w:ascii="宋体" w:hAnsi="宋体" w:eastAsia="宋体" w:cs="宋体"/>
                <w:color w:val="auto"/>
                <w:sz w:val="21"/>
                <w:szCs w:val="21"/>
                <w:lang w:val="en-US" w:eastAsia="zh-CN"/>
              </w:rPr>
              <w:t>实际分</w:t>
            </w:r>
            <w:r>
              <w:rPr>
                <w:rFonts w:hint="eastAsia" w:ascii="宋体" w:hAnsi="宋体" w:eastAsia="宋体" w:cs="宋体"/>
                <w:color w:val="auto"/>
                <w:sz w:val="21"/>
                <w:szCs w:val="21"/>
              </w:rPr>
              <w:t>打分。如果评审为差，要求专家书面说明理由，并记录在档。</w:t>
            </w:r>
          </w:p>
        </w:tc>
      </w:tr>
      <w:tr w14:paraId="6D6FD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13C3900E">
            <w:pPr>
              <w:jc w:val="center"/>
              <w:rPr>
                <w:rFonts w:hint="eastAsia" w:ascii="宋体" w:hAnsi="宋体" w:eastAsia="宋体" w:cs="宋体"/>
                <w:color w:val="000000"/>
                <w:sz w:val="21"/>
                <w:szCs w:val="21"/>
              </w:rPr>
            </w:pPr>
          </w:p>
        </w:tc>
        <w:tc>
          <w:tcPr>
            <w:tcW w:w="1177" w:type="dxa"/>
            <w:shd w:val="clear" w:color="auto" w:fill="auto"/>
            <w:vAlign w:val="center"/>
          </w:tcPr>
          <w:p w14:paraId="1F0C151D">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代理机构自身条件要求</w:t>
            </w:r>
          </w:p>
        </w:tc>
        <w:tc>
          <w:tcPr>
            <w:tcW w:w="662" w:type="dxa"/>
            <w:shd w:val="clear" w:color="auto" w:fill="auto"/>
            <w:vAlign w:val="center"/>
          </w:tcPr>
          <w:p w14:paraId="1439AF55">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en-US"/>
              </w:rPr>
              <w:t>0</w:t>
            </w:r>
          </w:p>
        </w:tc>
        <w:tc>
          <w:tcPr>
            <w:tcW w:w="6347" w:type="dxa"/>
            <w:shd w:val="clear" w:color="auto" w:fill="auto"/>
            <w:vAlign w:val="top"/>
          </w:tcPr>
          <w:p w14:paraId="254BA303">
            <w:pPr>
              <w:spacing w:line="240" w:lineRule="auto"/>
              <w:rPr>
                <w:rFonts w:hint="eastAsia" w:ascii="宋体" w:hAnsi="宋体" w:eastAsia="宋体" w:cs="宋体"/>
                <w:color w:val="auto"/>
                <w:sz w:val="21"/>
                <w:szCs w:val="21"/>
                <w:lang w:eastAsia="zh-CN"/>
              </w:rPr>
            </w:pPr>
            <w:r>
              <w:rPr>
                <w:rFonts w:hint="eastAsia" w:ascii="宋体" w:hAnsi="宋体" w:eastAsia="宋体" w:cs="宋体"/>
                <w:b/>
                <w:bCs/>
                <w:sz w:val="21"/>
                <w:szCs w:val="21"/>
              </w:rPr>
              <w:t>（一）评分内容</w:t>
            </w:r>
            <w:r>
              <w:rPr>
                <w:rFonts w:hint="eastAsia" w:ascii="宋体" w:hAnsi="宋体" w:eastAsia="宋体" w:cs="宋体"/>
                <w:b/>
                <w:bCs/>
                <w:sz w:val="21"/>
                <w:szCs w:val="21"/>
                <w:lang w:eastAsia="zh-CN"/>
              </w:rPr>
              <w:t>：</w:t>
            </w:r>
          </w:p>
          <w:p w14:paraId="177123EC">
            <w:pPr>
              <w:pStyle w:val="6"/>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en-US"/>
              </w:rPr>
              <w:t>提供场地环境要求</w:t>
            </w:r>
            <w:r>
              <w:rPr>
                <w:rFonts w:hint="eastAsia" w:ascii="宋体" w:hAnsi="宋体" w:cs="宋体"/>
                <w:sz w:val="21"/>
                <w:szCs w:val="21"/>
                <w:lang w:val="en-US" w:eastAsia="zh-CN"/>
              </w:rPr>
              <w:t>、移动评标、国际招标、配套服务</w:t>
            </w:r>
            <w:r>
              <w:rPr>
                <w:rFonts w:hint="eastAsia" w:ascii="宋体" w:hAnsi="宋体" w:eastAsia="宋体" w:cs="宋体"/>
                <w:sz w:val="21"/>
                <w:szCs w:val="21"/>
                <w:lang w:val="en-US" w:eastAsia="en-US"/>
              </w:rPr>
              <w:t>，根据投标人提供的方案进行综合评审</w:t>
            </w:r>
            <w:r>
              <w:rPr>
                <w:rFonts w:hint="eastAsia" w:ascii="宋体" w:hAnsi="宋体" w:cs="宋体"/>
                <w:sz w:val="21"/>
                <w:szCs w:val="21"/>
                <w:lang w:val="en-US" w:eastAsia="zh-CN"/>
              </w:rPr>
              <w:t>。</w:t>
            </w:r>
          </w:p>
          <w:p w14:paraId="3A53A592">
            <w:pPr>
              <w:spacing w:line="240" w:lineRule="auto"/>
              <w:rPr>
                <w:rFonts w:hint="eastAsia" w:ascii="宋体" w:hAnsi="宋体" w:eastAsia="宋体" w:cs="宋体"/>
                <w:sz w:val="21"/>
                <w:szCs w:val="21"/>
              </w:rPr>
            </w:pPr>
            <w:r>
              <w:rPr>
                <w:rFonts w:hint="eastAsia" w:ascii="宋体" w:hAnsi="宋体" w:eastAsia="宋体" w:cs="宋体"/>
                <w:b/>
                <w:bCs/>
                <w:sz w:val="21"/>
                <w:szCs w:val="21"/>
              </w:rPr>
              <w:t>（二）评分</w:t>
            </w:r>
            <w:r>
              <w:rPr>
                <w:rFonts w:hint="eastAsia" w:ascii="宋体" w:hAnsi="宋体" w:eastAsia="宋体" w:cs="宋体"/>
                <w:b/>
                <w:bCs/>
                <w:sz w:val="21"/>
                <w:szCs w:val="21"/>
                <w:lang w:val="en-US" w:eastAsia="zh-CN"/>
              </w:rPr>
              <w:t>标准</w:t>
            </w:r>
            <w:r>
              <w:rPr>
                <w:rFonts w:hint="eastAsia" w:ascii="宋体" w:hAnsi="宋体" w:eastAsia="宋体" w:cs="宋体"/>
                <w:b/>
                <w:bCs/>
                <w:sz w:val="21"/>
                <w:szCs w:val="21"/>
                <w:lang w:eastAsia="zh-CN"/>
              </w:rPr>
              <w:t>：</w:t>
            </w:r>
          </w:p>
          <w:p w14:paraId="6280C813">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以上内容全部提供得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en-US"/>
              </w:rPr>
              <w:t>分，缺项或不提供不得分，在此基础上进行优良中差评审：</w:t>
            </w:r>
          </w:p>
          <w:p w14:paraId="0DB280AB">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（1）投标文件响应内容全面。</w:t>
            </w:r>
          </w:p>
          <w:p w14:paraId="01FA6979">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（2）投标文件响应内容具体。</w:t>
            </w:r>
          </w:p>
          <w:p w14:paraId="6503F3AB">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（3）投标文件响应内容针对性强。</w:t>
            </w:r>
          </w:p>
          <w:p w14:paraId="4F67F312">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（4）投标文件响应内容科学合理。</w:t>
            </w:r>
          </w:p>
          <w:p w14:paraId="65898454">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（5）投标文件响应内容可执行性强。</w:t>
            </w:r>
          </w:p>
          <w:p w14:paraId="5138911E">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满足以上五项要求的评价为优，得</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en-US"/>
              </w:rPr>
              <w:t>分。</w:t>
            </w:r>
          </w:p>
          <w:p w14:paraId="2C51D5A3">
            <w:pPr>
              <w:pStyle w:val="6"/>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en-US"/>
              </w:rPr>
              <w:t>满足以上四项要求的评价为良，得</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en-US"/>
              </w:rPr>
              <w:t>分</w:t>
            </w:r>
            <w:r>
              <w:rPr>
                <w:rFonts w:hint="eastAsia" w:ascii="宋体" w:hAnsi="宋体" w:eastAsia="宋体" w:cs="宋体"/>
                <w:color w:val="auto"/>
                <w:sz w:val="21"/>
                <w:szCs w:val="21"/>
              </w:rPr>
              <w:t>。</w:t>
            </w:r>
          </w:p>
          <w:p w14:paraId="7BEDDB2E">
            <w:pPr>
              <w:pStyle w:val="6"/>
              <w:spacing w:line="240" w:lineRule="auto"/>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en-US"/>
              </w:rPr>
              <w:t>满足以上三项要求的评价为中，得</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en-US"/>
              </w:rPr>
              <w:t>分。</w:t>
            </w:r>
          </w:p>
          <w:p w14:paraId="215610A2">
            <w:pPr>
              <w:pStyle w:val="6"/>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en-US"/>
              </w:rPr>
              <w:t>其它情况的评价为差，不得分</w:t>
            </w:r>
            <w:r>
              <w:rPr>
                <w:rFonts w:hint="eastAsia" w:ascii="宋体" w:hAnsi="宋体" w:cs="宋体"/>
                <w:color w:val="auto"/>
                <w:sz w:val="21"/>
                <w:szCs w:val="21"/>
                <w:lang w:val="en-US" w:eastAsia="zh-CN"/>
              </w:rPr>
              <w:t>。</w:t>
            </w:r>
          </w:p>
          <w:p w14:paraId="59665711">
            <w:pPr>
              <w:pStyle w:val="2"/>
              <w:rPr>
                <w:rFonts w:hint="eastAsia" w:ascii="宋体" w:hAnsi="宋体" w:eastAsia="宋体" w:cs="宋体"/>
                <w:sz w:val="21"/>
                <w:szCs w:val="21"/>
                <w:lang w:val="en-US" w:eastAsia="zh-CN"/>
              </w:rPr>
            </w:pPr>
            <w:r>
              <w:rPr>
                <w:rFonts w:hint="eastAsia" w:ascii="宋体" w:hAnsi="宋体" w:eastAsia="宋体" w:cs="宋体"/>
                <w:color w:val="auto"/>
                <w:sz w:val="21"/>
                <w:szCs w:val="21"/>
              </w:rPr>
              <w:t>专家按</w:t>
            </w:r>
            <w:r>
              <w:rPr>
                <w:rFonts w:hint="eastAsia" w:ascii="宋体" w:hAnsi="宋体" w:eastAsia="宋体" w:cs="宋体"/>
                <w:color w:val="auto"/>
                <w:sz w:val="21"/>
                <w:szCs w:val="21"/>
                <w:lang w:val="en-US" w:eastAsia="zh-CN"/>
              </w:rPr>
              <w:t>实际分</w:t>
            </w:r>
            <w:r>
              <w:rPr>
                <w:rFonts w:hint="eastAsia" w:ascii="宋体" w:hAnsi="宋体" w:eastAsia="宋体" w:cs="宋体"/>
                <w:color w:val="auto"/>
                <w:sz w:val="21"/>
                <w:szCs w:val="21"/>
              </w:rPr>
              <w:t>打分。如果评审为差，要求专家书面说明理由，并记录在档。</w:t>
            </w:r>
          </w:p>
        </w:tc>
      </w:tr>
      <w:tr w14:paraId="3E520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3A56887A">
            <w:pPr>
              <w:jc w:val="center"/>
              <w:rPr>
                <w:rFonts w:hint="eastAsia" w:ascii="宋体" w:hAnsi="宋体" w:eastAsia="宋体" w:cs="宋体"/>
                <w:color w:val="000000"/>
                <w:sz w:val="21"/>
                <w:szCs w:val="21"/>
                <w:highlight w:val="none"/>
              </w:rPr>
            </w:pPr>
          </w:p>
        </w:tc>
        <w:tc>
          <w:tcPr>
            <w:tcW w:w="1177" w:type="dxa"/>
            <w:shd w:val="clear" w:color="auto" w:fill="auto"/>
            <w:vAlign w:val="center"/>
          </w:tcPr>
          <w:p w14:paraId="4EE6490B">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代理机构提供人员要求</w:t>
            </w:r>
            <w:r>
              <w:rPr>
                <w:rFonts w:hint="eastAsia" w:ascii="宋体" w:hAnsi="宋体" w:cs="宋体"/>
                <w:color w:val="auto"/>
                <w:sz w:val="21"/>
                <w:szCs w:val="21"/>
                <w:highlight w:val="none"/>
                <w:lang w:val="en-US" w:eastAsia="zh-CN"/>
              </w:rPr>
              <w:t>-项目负责人</w:t>
            </w:r>
          </w:p>
        </w:tc>
        <w:tc>
          <w:tcPr>
            <w:tcW w:w="662" w:type="dxa"/>
            <w:shd w:val="clear" w:color="auto" w:fill="auto"/>
            <w:vAlign w:val="center"/>
          </w:tcPr>
          <w:p w14:paraId="197078D8">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6347" w:type="dxa"/>
            <w:shd w:val="clear" w:color="auto" w:fill="auto"/>
            <w:vAlign w:val="top"/>
          </w:tcPr>
          <w:p w14:paraId="66BA5E09">
            <w:pPr>
              <w:spacing w:line="240" w:lineRule="auto"/>
              <w:rPr>
                <w:rFonts w:hint="eastAsia" w:ascii="宋体" w:hAnsi="宋体" w:eastAsia="宋体" w:cs="宋体"/>
                <w:color w:val="auto"/>
                <w:sz w:val="21"/>
                <w:szCs w:val="21"/>
                <w:highlight w:val="none"/>
              </w:rPr>
            </w:pPr>
            <w:r>
              <w:rPr>
                <w:rFonts w:hint="eastAsia" w:ascii="宋体" w:hAnsi="宋体" w:eastAsia="宋体" w:cs="宋体"/>
                <w:b/>
                <w:bCs/>
                <w:sz w:val="21"/>
                <w:szCs w:val="21"/>
                <w:highlight w:val="none"/>
              </w:rPr>
              <w:t>（一）评分内容</w:t>
            </w:r>
            <w:r>
              <w:rPr>
                <w:rFonts w:hint="eastAsia" w:ascii="宋体" w:hAnsi="宋体" w:eastAsia="宋体" w:cs="宋体"/>
                <w:b/>
                <w:bCs/>
                <w:sz w:val="21"/>
                <w:szCs w:val="21"/>
                <w:highlight w:val="none"/>
                <w:lang w:eastAsia="zh-CN"/>
              </w:rPr>
              <w:t>：</w:t>
            </w:r>
          </w:p>
          <w:p w14:paraId="43D20CEC">
            <w:pPr>
              <w:numPr>
                <w:ilvl w:val="0"/>
                <w:numId w:val="0"/>
              </w:numPr>
              <w:ind w:leftChars="0" w:right="25" w:rightChars="12"/>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拟派项目负责人须同时满足以下条件：</w:t>
            </w:r>
          </w:p>
          <w:p w14:paraId="4C8F05B1">
            <w:pPr>
              <w:numPr>
                <w:ilvl w:val="0"/>
                <w:numId w:val="0"/>
              </w:numPr>
              <w:ind w:leftChars="0" w:right="25" w:rightChars="12"/>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具有5年及以上</w:t>
            </w:r>
            <w:r>
              <w:rPr>
                <w:rFonts w:hint="eastAsia" w:ascii="宋体" w:hAnsi="宋体" w:cs="宋体"/>
                <w:color w:val="auto"/>
                <w:sz w:val="21"/>
                <w:szCs w:val="21"/>
                <w:highlight w:val="none"/>
                <w:lang w:val="en-US" w:eastAsia="zh-CN"/>
              </w:rPr>
              <w:t>医疗类</w:t>
            </w:r>
            <w:r>
              <w:rPr>
                <w:rFonts w:hint="eastAsia" w:ascii="宋体" w:hAnsi="宋体" w:eastAsia="宋体" w:cs="宋体"/>
                <w:color w:val="auto"/>
                <w:sz w:val="21"/>
                <w:szCs w:val="21"/>
                <w:highlight w:val="none"/>
                <w:lang w:val="en-US" w:eastAsia="en-US"/>
              </w:rPr>
              <w:t>政府采购代理项目经验；</w:t>
            </w:r>
          </w:p>
          <w:p w14:paraId="57A336F8">
            <w:pPr>
              <w:numPr>
                <w:ilvl w:val="0"/>
                <w:numId w:val="0"/>
              </w:numPr>
              <w:ind w:leftChars="0" w:right="25" w:rightChars="12"/>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近</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en-US"/>
              </w:rPr>
              <w:t>年内无被财政部门处罚记录；</w:t>
            </w:r>
          </w:p>
          <w:p w14:paraId="03D503C2">
            <w:pPr>
              <w:numPr>
                <w:ilvl w:val="0"/>
                <w:numId w:val="0"/>
              </w:numPr>
              <w:ind w:leftChars="0" w:right="25" w:rightChars="12"/>
              <w:jc w:val="left"/>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持有省级及以上政府采购协会</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en-US"/>
              </w:rPr>
              <w:t>招标投标协会或人力资源和社会保障部门颁发的政府采购</w:t>
            </w:r>
            <w:r>
              <w:rPr>
                <w:rFonts w:hint="eastAsia" w:ascii="宋体" w:hAnsi="宋体" w:cs="宋体"/>
                <w:color w:val="auto"/>
                <w:sz w:val="21"/>
                <w:szCs w:val="21"/>
                <w:highlight w:val="none"/>
                <w:lang w:val="en-US" w:eastAsia="zh-CN"/>
              </w:rPr>
              <w:t>中级</w:t>
            </w:r>
            <w:r>
              <w:rPr>
                <w:rFonts w:hint="eastAsia" w:ascii="宋体" w:hAnsi="宋体" w:eastAsia="宋体" w:cs="宋体"/>
                <w:color w:val="auto"/>
                <w:sz w:val="21"/>
                <w:szCs w:val="21"/>
                <w:highlight w:val="none"/>
                <w:lang w:val="en-US" w:eastAsia="en-US"/>
              </w:rPr>
              <w:t>/招标投标领域培训合格证书、专业能力评价证书或职业培训证书。</w:t>
            </w:r>
          </w:p>
          <w:p w14:paraId="53AB7881">
            <w:pPr>
              <w:numPr>
                <w:ilvl w:val="0"/>
                <w:numId w:val="0"/>
              </w:numPr>
              <w:ind w:leftChars="0" w:right="25" w:rightChars="1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全部满足得5分，任一项不满足不得分。</w:t>
            </w:r>
          </w:p>
          <w:p w14:paraId="745A2EB2">
            <w:pPr>
              <w:spacing w:line="24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（二）评分</w:t>
            </w:r>
            <w:r>
              <w:rPr>
                <w:rFonts w:hint="eastAsia" w:ascii="宋体" w:hAnsi="宋体" w:cs="宋体"/>
                <w:b/>
                <w:bCs/>
                <w:sz w:val="21"/>
                <w:szCs w:val="21"/>
                <w:highlight w:val="none"/>
                <w:lang w:val="en-US" w:eastAsia="zh-CN"/>
              </w:rPr>
              <w:t>依据</w:t>
            </w:r>
            <w:r>
              <w:rPr>
                <w:rFonts w:hint="eastAsia" w:ascii="宋体" w:hAnsi="宋体" w:eastAsia="宋体" w:cs="宋体"/>
                <w:b/>
                <w:bCs/>
                <w:sz w:val="21"/>
                <w:szCs w:val="21"/>
                <w:highlight w:val="none"/>
                <w:lang w:eastAsia="zh-CN"/>
              </w:rPr>
              <w:t>：</w:t>
            </w:r>
          </w:p>
          <w:p w14:paraId="183E03AF">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eastAsia="zh-CN"/>
              </w:rPr>
              <w:t>项目负责人</w:t>
            </w:r>
            <w:r>
              <w:rPr>
                <w:rFonts w:hint="eastAsia" w:ascii="宋体" w:hAnsi="宋体" w:cs="宋体"/>
                <w:color w:val="auto"/>
                <w:sz w:val="21"/>
                <w:szCs w:val="21"/>
                <w:highlight w:val="none"/>
                <w:lang w:val="en-US" w:eastAsia="zh-CN"/>
              </w:rPr>
              <w:t>近三个月（含开标当月）任意一个月</w:t>
            </w:r>
            <w:r>
              <w:rPr>
                <w:rFonts w:hint="eastAsia" w:ascii="宋体" w:hAnsi="宋体" w:eastAsia="宋体" w:cs="宋体"/>
                <w:color w:val="auto"/>
                <w:sz w:val="21"/>
                <w:szCs w:val="21"/>
                <w:highlight w:val="none"/>
              </w:rPr>
              <w:t>在投标单位缴纳且载有社保部门（或税务部门）公章（或税务部门公章）的社保缴交证明材料。如供应商为新成立企业且成立时间不足一个月可提供加盖公章的情况说明或者证明材料亦视为符合。未按要求提供相关证明材料（或相关证明材料无法判断是否符合评分要求）的不计得分，原件备查。</w:t>
            </w:r>
          </w:p>
          <w:p w14:paraId="66F27BE0">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.经验证明：政府采购项目经验须提供项目合同关键信息页（含项目名称、签订时间、服务内容、双方盖章）；通过合同关键信息无法判断的，可补充提供合同</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出具的证明文件</w:t>
            </w:r>
            <w:r>
              <w:rPr>
                <w:rFonts w:hint="eastAsia" w:ascii="宋体" w:hAnsi="宋体" w:cs="宋体"/>
                <w:color w:val="auto"/>
                <w:sz w:val="21"/>
                <w:szCs w:val="21"/>
                <w:highlight w:val="none"/>
                <w:lang w:val="en-US" w:eastAsia="zh-CN"/>
              </w:rPr>
              <w:t>或承诺函（承诺上述人员为该合同的项目负责人）；</w:t>
            </w:r>
            <w:r>
              <w:rPr>
                <w:rFonts w:hint="eastAsia" w:ascii="宋体" w:hAnsi="宋体" w:eastAsia="宋体" w:cs="宋体"/>
                <w:color w:val="auto"/>
                <w:sz w:val="21"/>
                <w:szCs w:val="21"/>
                <w:highlight w:val="none"/>
                <w:lang w:val="en-US" w:eastAsia="zh-CN"/>
              </w:rPr>
              <w:t>项目负责人5年经验须提供</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个不同年度的项目合同证明</w:t>
            </w:r>
            <w:r>
              <w:rPr>
                <w:rFonts w:hint="eastAsia" w:ascii="宋体" w:hAnsi="宋体" w:cs="宋体"/>
                <w:color w:val="auto"/>
                <w:sz w:val="21"/>
                <w:szCs w:val="21"/>
                <w:highlight w:val="none"/>
                <w:lang w:val="en-US" w:eastAsia="zh-CN"/>
              </w:rPr>
              <w:t>。</w:t>
            </w:r>
          </w:p>
          <w:p w14:paraId="518614D9">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医疗类采购代理经验须提供项目合同或采购人证明（以医疗类设备采购/基建工程/运维/检测项目代理经验为佳）。</w:t>
            </w:r>
          </w:p>
          <w:p w14:paraId="171D617D">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证书证明：提供培训合格证书或专业能力评价证书或职业培训证书扫描件。电子证书截图同样有效。</w:t>
            </w:r>
          </w:p>
          <w:p w14:paraId="0363A798">
            <w:pPr>
              <w:pStyle w:val="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项目负责人</w:t>
            </w:r>
            <w:r>
              <w:rPr>
                <w:rFonts w:hint="eastAsia" w:ascii="宋体" w:hAnsi="宋体" w:eastAsia="宋体" w:cs="宋体"/>
                <w:color w:val="auto"/>
                <w:sz w:val="21"/>
                <w:szCs w:val="21"/>
                <w:highlight w:val="none"/>
                <w:lang w:val="en-US" w:eastAsia="en-US"/>
              </w:rPr>
              <w:t>近</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en-US"/>
              </w:rPr>
              <w:t>年内无被财政部门处罚记录</w:t>
            </w:r>
            <w:r>
              <w:rPr>
                <w:rFonts w:hint="eastAsia" w:ascii="宋体" w:hAnsi="宋体" w:cs="宋体"/>
                <w:color w:val="auto"/>
                <w:sz w:val="21"/>
                <w:szCs w:val="21"/>
                <w:highlight w:val="none"/>
                <w:lang w:val="en-US" w:eastAsia="zh-CN"/>
              </w:rPr>
              <w:t>要求投标人提供承诺函。</w:t>
            </w:r>
          </w:p>
          <w:p w14:paraId="42001E80">
            <w:pPr>
              <w:pStyle w:val="2"/>
              <w:rPr>
                <w:rFonts w:hint="eastAsia" w:ascii="宋体" w:hAnsi="宋体" w:eastAsia="宋体" w:cs="宋体"/>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专家按实际分打分</w:t>
            </w:r>
            <w:r>
              <w:rPr>
                <w:rFonts w:hint="eastAsia" w:ascii="宋体" w:hAnsi="宋体" w:eastAsia="宋体" w:cs="宋体"/>
                <w:color w:val="auto"/>
                <w:sz w:val="21"/>
                <w:szCs w:val="21"/>
                <w:highlight w:val="none"/>
              </w:rPr>
              <w:t>。</w:t>
            </w:r>
          </w:p>
        </w:tc>
      </w:tr>
      <w:tr w14:paraId="15D6F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5C1442D4">
            <w:pPr>
              <w:jc w:val="center"/>
              <w:rPr>
                <w:rFonts w:hint="eastAsia" w:ascii="宋体" w:hAnsi="宋体" w:eastAsia="宋体" w:cs="宋体"/>
                <w:color w:val="000000"/>
                <w:sz w:val="21"/>
                <w:szCs w:val="21"/>
                <w:highlight w:val="none"/>
              </w:rPr>
            </w:pPr>
          </w:p>
        </w:tc>
        <w:tc>
          <w:tcPr>
            <w:tcW w:w="1177" w:type="dxa"/>
            <w:shd w:val="clear" w:color="auto" w:fill="auto"/>
            <w:vAlign w:val="center"/>
          </w:tcPr>
          <w:p w14:paraId="1334F4EE">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代理机构提供人员要求</w:t>
            </w:r>
            <w:r>
              <w:rPr>
                <w:rFonts w:hint="eastAsia" w:ascii="宋体" w:hAnsi="宋体" w:cs="宋体"/>
                <w:color w:val="auto"/>
                <w:sz w:val="21"/>
                <w:szCs w:val="21"/>
                <w:highlight w:val="none"/>
                <w:lang w:val="en-US" w:eastAsia="zh-CN"/>
              </w:rPr>
              <w:t>-项目团队</w:t>
            </w:r>
          </w:p>
        </w:tc>
        <w:tc>
          <w:tcPr>
            <w:tcW w:w="662" w:type="dxa"/>
            <w:shd w:val="clear" w:color="auto" w:fill="auto"/>
            <w:vAlign w:val="center"/>
          </w:tcPr>
          <w:p w14:paraId="77C953D7">
            <w:pPr>
              <w:spacing w:line="240"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347" w:type="dxa"/>
            <w:shd w:val="clear" w:color="auto" w:fill="auto"/>
            <w:vAlign w:val="top"/>
          </w:tcPr>
          <w:p w14:paraId="52DAD25F">
            <w:pPr>
              <w:spacing w:line="240" w:lineRule="auto"/>
              <w:rPr>
                <w:rFonts w:hint="eastAsia" w:ascii="宋体" w:hAnsi="宋体" w:eastAsia="宋体" w:cs="宋体"/>
                <w:color w:val="auto"/>
                <w:sz w:val="21"/>
                <w:szCs w:val="21"/>
                <w:highlight w:val="none"/>
              </w:rPr>
            </w:pPr>
            <w:r>
              <w:rPr>
                <w:rFonts w:hint="eastAsia" w:ascii="宋体" w:hAnsi="宋体" w:eastAsia="宋体" w:cs="宋体"/>
                <w:b/>
                <w:bCs/>
                <w:sz w:val="21"/>
                <w:szCs w:val="21"/>
                <w:highlight w:val="none"/>
              </w:rPr>
              <w:t>（一）评分内容</w:t>
            </w:r>
            <w:r>
              <w:rPr>
                <w:rFonts w:hint="eastAsia" w:ascii="宋体" w:hAnsi="宋体" w:eastAsia="宋体" w:cs="宋体"/>
                <w:b/>
                <w:bCs/>
                <w:sz w:val="21"/>
                <w:szCs w:val="21"/>
                <w:highlight w:val="none"/>
                <w:lang w:eastAsia="zh-CN"/>
              </w:rPr>
              <w:t>：</w:t>
            </w:r>
          </w:p>
          <w:p w14:paraId="220739BE">
            <w:pPr>
              <w:numPr>
                <w:ilvl w:val="0"/>
                <w:numId w:val="0"/>
              </w:numPr>
              <w:ind w:leftChars="0" w:right="25" w:rightChars="12"/>
              <w:jc w:val="lef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代理机构出具书面承诺：年度内项目负责人更换不超过1次，其他成员更换不超过2次，更换前须提前书面申请并说明理由，经我院同意后方可更换。未提供承诺本项不得分。在此基础上，</w:t>
            </w:r>
            <w:r>
              <w:rPr>
                <w:rFonts w:hint="eastAsia" w:ascii="宋体" w:hAnsi="宋体" w:eastAsia="宋体" w:cs="宋体"/>
                <w:color w:val="auto"/>
                <w:sz w:val="21"/>
                <w:szCs w:val="21"/>
                <w:highlight w:val="none"/>
                <w:lang w:val="en-US" w:eastAsia="en-US"/>
              </w:rPr>
              <w:t>拟安排的项目</w:t>
            </w:r>
            <w:r>
              <w:rPr>
                <w:rFonts w:hint="eastAsia" w:ascii="宋体" w:hAnsi="宋体" w:cs="宋体"/>
                <w:color w:val="auto"/>
                <w:sz w:val="21"/>
                <w:szCs w:val="21"/>
                <w:highlight w:val="none"/>
                <w:lang w:val="en-US" w:eastAsia="zh-CN"/>
              </w:rPr>
              <w:t>团队</w:t>
            </w:r>
            <w:r>
              <w:rPr>
                <w:rFonts w:hint="eastAsia" w:ascii="宋体" w:hAnsi="宋体" w:eastAsia="宋体" w:cs="宋体"/>
                <w:color w:val="auto"/>
                <w:sz w:val="21"/>
                <w:szCs w:val="21"/>
                <w:highlight w:val="none"/>
                <w:lang w:val="en-US" w:eastAsia="en-US"/>
              </w:rPr>
              <w:t>情况</w:t>
            </w:r>
            <w:r>
              <w:rPr>
                <w:rFonts w:hint="eastAsia" w:ascii="宋体" w:hAnsi="宋体" w:cs="宋体"/>
                <w:color w:val="auto"/>
                <w:sz w:val="21"/>
                <w:szCs w:val="21"/>
                <w:highlight w:val="none"/>
                <w:lang w:val="en-US" w:eastAsia="zh-CN"/>
              </w:rPr>
              <w:t>：</w:t>
            </w:r>
          </w:p>
          <w:p w14:paraId="6DB538DB">
            <w:pPr>
              <w:numPr>
                <w:ilvl w:val="0"/>
                <w:numId w:val="0"/>
              </w:numPr>
              <w:ind w:leftChars="0"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（1）代理机构拥有不少于5名专职从业人员（不含项目负责人），在深圳缴纳社保（4分）</w:t>
            </w:r>
            <w:r>
              <w:rPr>
                <w:rFonts w:hint="eastAsia" w:ascii="宋体" w:hAnsi="宋体" w:cs="宋体"/>
                <w:color w:val="auto"/>
                <w:sz w:val="21"/>
                <w:szCs w:val="21"/>
                <w:highlight w:val="none"/>
                <w:lang w:val="en-US" w:eastAsia="zh-CN"/>
              </w:rPr>
              <w:t>；</w:t>
            </w:r>
          </w:p>
          <w:p w14:paraId="007AAD7C">
            <w:pPr>
              <w:numPr>
                <w:ilvl w:val="0"/>
                <w:numId w:val="0"/>
              </w:numPr>
              <w:ind w:leftChars="0"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Times New Roman" w:hAnsi="Times New Roman" w:eastAsia="宋体" w:cs="Times New Roman"/>
                <w:bCs/>
                <w:color w:val="auto"/>
                <w:szCs w:val="21"/>
                <w:highlight w:val="none"/>
                <w:u w:val="none"/>
              </w:rPr>
              <w:t>团队成员均具有至少3年政府采购项目经验，且其中至少1人具有医院或政府机关类采购代理项目经验（3分）</w:t>
            </w:r>
            <w:r>
              <w:rPr>
                <w:rFonts w:hint="eastAsia" w:ascii="宋体" w:hAnsi="宋体" w:cs="宋体"/>
                <w:color w:val="auto"/>
                <w:sz w:val="21"/>
                <w:szCs w:val="21"/>
                <w:highlight w:val="none"/>
                <w:lang w:val="en-US" w:eastAsia="zh-CN"/>
              </w:rPr>
              <w:t>；</w:t>
            </w:r>
          </w:p>
          <w:p w14:paraId="6109526A">
            <w:pPr>
              <w:numPr>
                <w:ilvl w:val="0"/>
                <w:numId w:val="0"/>
              </w:numPr>
              <w:ind w:leftChars="0"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w:t>
            </w:r>
            <w:r>
              <w:rPr>
                <w:rFonts w:hint="eastAsia" w:ascii="Times New Roman" w:hAnsi="Times New Roman" w:eastAsia="宋体" w:cs="Times New Roman"/>
                <w:bCs/>
                <w:color w:val="auto"/>
                <w:szCs w:val="21"/>
                <w:highlight w:val="none"/>
                <w:u w:val="none"/>
              </w:rPr>
              <w:t>团队成员均持有省级及以上政府采购协会</w:t>
            </w:r>
            <w:r>
              <w:rPr>
                <w:rFonts w:hint="eastAsia" w:cs="Times New Roman"/>
                <w:bCs/>
                <w:color w:val="auto"/>
                <w:szCs w:val="21"/>
                <w:highlight w:val="none"/>
                <w:u w:val="none"/>
                <w:lang w:eastAsia="zh-CN"/>
              </w:rPr>
              <w:t>或</w:t>
            </w:r>
            <w:r>
              <w:rPr>
                <w:rFonts w:hint="eastAsia" w:ascii="Times New Roman" w:hAnsi="Times New Roman" w:eastAsia="宋体" w:cs="Times New Roman"/>
                <w:bCs/>
                <w:color w:val="auto"/>
                <w:szCs w:val="21"/>
                <w:highlight w:val="none"/>
                <w:u w:val="none"/>
              </w:rPr>
              <w:t>招标投标协会或人力资源和社会保障部门颁发的政府采购</w:t>
            </w:r>
            <w:r>
              <w:rPr>
                <w:rFonts w:hint="eastAsia" w:cs="Times New Roman"/>
                <w:bCs/>
                <w:color w:val="FF0000"/>
                <w:szCs w:val="21"/>
                <w:highlight w:val="none"/>
                <w:u w:val="none"/>
                <w:lang w:eastAsia="zh-CN"/>
              </w:rPr>
              <w:t>中级</w:t>
            </w:r>
            <w:r>
              <w:rPr>
                <w:rFonts w:hint="eastAsia" w:ascii="Times New Roman" w:hAnsi="Times New Roman" w:eastAsia="宋体" w:cs="Times New Roman"/>
                <w:bCs/>
                <w:color w:val="auto"/>
                <w:szCs w:val="21"/>
                <w:highlight w:val="none"/>
                <w:u w:val="none"/>
              </w:rPr>
              <w:t>/招标投标领域培训合格证书、专业能力评价证书或职业培训证书（3分）</w:t>
            </w:r>
            <w:r>
              <w:rPr>
                <w:rFonts w:hint="eastAsia" w:cs="Times New Roman"/>
                <w:bCs/>
                <w:color w:val="auto"/>
                <w:szCs w:val="21"/>
                <w:highlight w:val="none"/>
                <w:u w:val="none"/>
                <w:lang w:eastAsia="zh-CN"/>
              </w:rPr>
              <w:t>。</w:t>
            </w:r>
          </w:p>
          <w:p w14:paraId="52E82C52">
            <w:pPr>
              <w:spacing w:line="240" w:lineRule="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（二）评分</w:t>
            </w:r>
            <w:r>
              <w:rPr>
                <w:rFonts w:hint="eastAsia" w:ascii="宋体" w:hAnsi="宋体" w:cs="宋体"/>
                <w:b/>
                <w:bCs/>
                <w:sz w:val="21"/>
                <w:szCs w:val="21"/>
                <w:highlight w:val="none"/>
                <w:lang w:val="en-US" w:eastAsia="zh-CN"/>
              </w:rPr>
              <w:t>依据</w:t>
            </w:r>
            <w:r>
              <w:rPr>
                <w:rFonts w:hint="eastAsia" w:ascii="宋体" w:hAnsi="宋体" w:eastAsia="宋体" w:cs="宋体"/>
                <w:b/>
                <w:bCs/>
                <w:sz w:val="21"/>
                <w:szCs w:val="21"/>
                <w:highlight w:val="none"/>
                <w:lang w:eastAsia="zh-CN"/>
              </w:rPr>
              <w:t>：</w:t>
            </w:r>
          </w:p>
          <w:p w14:paraId="123140CE">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社保缴纳证明：提供项目团队成员近三个月（含开标当月）任意一个月在投标单位缴纳且载有社保部门（或税务部门）公章的社保缴交证明材料。如供应商为新成立企业且成立时间不足一个月，可提供加盖公章的情况说明或证明材料。未按要求提供不计分，原件备查。</w:t>
            </w:r>
          </w:p>
          <w:p w14:paraId="06CDC018">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.经验证明：政府采购项目经验须提供项目合同关键信息页（含项目名称、签订时间、服务内容、双方盖章）；通过合同关键信息无法判断的，可补充提供合同</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出具的证明文件</w:t>
            </w:r>
            <w:r>
              <w:rPr>
                <w:rFonts w:hint="eastAsia" w:ascii="宋体" w:hAnsi="宋体" w:cs="宋体"/>
                <w:color w:val="auto"/>
                <w:sz w:val="21"/>
                <w:szCs w:val="21"/>
                <w:highlight w:val="none"/>
                <w:lang w:val="en-US" w:eastAsia="zh-CN"/>
              </w:rPr>
              <w:t>或承诺函（承诺上述人员为该合同的项目团队成员）；</w:t>
            </w:r>
          </w:p>
          <w:p w14:paraId="33CAE19A">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医疗类采购代理经验须提供项目合同或采购人证明（以医疗类设备采购/基建工程/运维/检测项目代理经验为佳）。</w:t>
            </w:r>
          </w:p>
          <w:p w14:paraId="5B8A4EE9">
            <w:pPr>
              <w:pStyle w:val="2"/>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证书证明：提供培训合格证书、专业能力评价证书或职业培训证书扫描件。电子证书截图同样有效。</w:t>
            </w:r>
          </w:p>
          <w:p w14:paraId="545B050A">
            <w:pPr>
              <w:pStyle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代理机构出具书面承诺：年度内项目负责人更换不超过1次，其他成员更换不超过2次，更换前须提前书面申请并说明理由，经我院同意后方可更换。</w:t>
            </w:r>
          </w:p>
          <w:p w14:paraId="523C58AD">
            <w:pPr>
              <w:pStyle w:val="2"/>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专家按实际分打分</w:t>
            </w:r>
            <w:r>
              <w:rPr>
                <w:rFonts w:hint="eastAsia" w:ascii="宋体" w:hAnsi="宋体" w:eastAsia="宋体" w:cs="宋体"/>
                <w:color w:val="auto"/>
                <w:sz w:val="21"/>
                <w:szCs w:val="21"/>
                <w:highlight w:val="none"/>
              </w:rPr>
              <w:t>。</w:t>
            </w:r>
          </w:p>
        </w:tc>
      </w:tr>
      <w:tr w14:paraId="4B660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156A5AEE">
            <w:pPr>
              <w:jc w:val="center"/>
              <w:rPr>
                <w:rFonts w:hint="eastAsia" w:ascii="宋体" w:hAnsi="宋体" w:eastAsia="宋体" w:cs="宋体"/>
                <w:color w:val="000000"/>
                <w:sz w:val="21"/>
                <w:szCs w:val="21"/>
                <w:highlight w:val="none"/>
              </w:rPr>
            </w:pPr>
          </w:p>
        </w:tc>
        <w:tc>
          <w:tcPr>
            <w:tcW w:w="1177" w:type="dxa"/>
            <w:vAlign w:val="center"/>
          </w:tcPr>
          <w:p w14:paraId="26DD0F29">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代理机构工作质量要求</w:t>
            </w:r>
          </w:p>
        </w:tc>
        <w:tc>
          <w:tcPr>
            <w:tcW w:w="662" w:type="dxa"/>
            <w:vAlign w:val="center"/>
          </w:tcPr>
          <w:p w14:paraId="5E330B94">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347" w:type="dxa"/>
            <w:vAlign w:val="top"/>
          </w:tcPr>
          <w:p w14:paraId="4FF54175">
            <w:pPr>
              <w:spacing w:line="240" w:lineRule="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（一）评分内容</w:t>
            </w:r>
            <w:r>
              <w:rPr>
                <w:rFonts w:hint="eastAsia" w:ascii="宋体" w:hAnsi="宋体" w:eastAsia="宋体" w:cs="宋体"/>
                <w:b/>
                <w:bCs/>
                <w:szCs w:val="21"/>
                <w:highlight w:val="none"/>
                <w:lang w:eastAsia="zh-CN"/>
              </w:rPr>
              <w:t>：</w:t>
            </w:r>
          </w:p>
          <w:p w14:paraId="4E0FABD7">
            <w:pPr>
              <w:numPr>
                <w:ilvl w:val="0"/>
                <w:numId w:val="0"/>
              </w:numPr>
              <w:spacing w:line="240" w:lineRule="auto"/>
              <w:ind w:leftChars="0"/>
              <w:rPr>
                <w:rFonts w:hint="eastAsia" w:ascii="宋体" w:hAnsi="宋体" w:eastAsia="宋体" w:cs="宋体"/>
                <w:szCs w:val="21"/>
                <w:highlight w:val="none"/>
                <w:lang w:val="en-US" w:eastAsia="zh-CN"/>
              </w:rPr>
            </w:pPr>
            <w:r>
              <w:rPr>
                <w:rFonts w:hint="eastAsia" w:ascii="宋体" w:hAnsi="宋体" w:eastAsia="宋体" w:cs="宋体"/>
                <w:sz w:val="21"/>
                <w:szCs w:val="21"/>
                <w:highlight w:val="none"/>
                <w:lang w:val="en-US" w:eastAsia="en-US"/>
              </w:rPr>
              <w:t>包含但不限于评标出错率、废标率</w:t>
            </w:r>
            <w:r>
              <w:rPr>
                <w:rFonts w:hint="eastAsia" w:ascii="宋体" w:hAnsi="宋体" w:cs="宋体"/>
                <w:sz w:val="21"/>
                <w:szCs w:val="21"/>
                <w:highlight w:val="none"/>
                <w:lang w:val="en-US" w:eastAsia="zh-CN"/>
              </w:rPr>
              <w:t>、质疑处理效率</w:t>
            </w:r>
            <w:r>
              <w:rPr>
                <w:rFonts w:hint="eastAsia" w:ascii="宋体" w:hAnsi="宋体" w:eastAsia="宋体" w:cs="宋体"/>
                <w:sz w:val="21"/>
                <w:szCs w:val="21"/>
                <w:highlight w:val="none"/>
                <w:lang w:val="en-US" w:eastAsia="en-US"/>
              </w:rPr>
              <w:t>等</w:t>
            </w:r>
            <w:r>
              <w:rPr>
                <w:rFonts w:hint="eastAsia" w:ascii="宋体" w:hAnsi="宋体" w:eastAsia="宋体" w:cs="宋体"/>
                <w:sz w:val="21"/>
                <w:szCs w:val="21"/>
                <w:highlight w:val="none"/>
              </w:rPr>
              <w:t>：</w:t>
            </w:r>
          </w:p>
          <w:p w14:paraId="5AADCEE9">
            <w:pPr>
              <w:numPr>
                <w:ilvl w:val="0"/>
                <w:numId w:val="0"/>
              </w:numPr>
              <w:spacing w:line="240" w:lineRule="auto"/>
              <w:ind w:leftChars="0"/>
              <w:rPr>
                <w:rFonts w:hint="eastAsia" w:ascii="宋体" w:hAnsi="宋体" w:eastAsia="宋体" w:cs="宋体"/>
                <w:szCs w:val="21"/>
                <w:highlight w:val="none"/>
              </w:rPr>
            </w:pPr>
            <w:r>
              <w:rPr>
                <w:rFonts w:hint="eastAsia" w:ascii="宋体" w:hAnsi="宋体" w:eastAsia="宋体" w:cs="宋体"/>
                <w:szCs w:val="21"/>
                <w:highlight w:val="none"/>
                <w:lang w:val="en-US" w:eastAsia="zh-CN"/>
              </w:rPr>
              <w:t>有较强的本地化服务能力，并配有较强的</w:t>
            </w:r>
            <w:r>
              <w:rPr>
                <w:rFonts w:hint="eastAsia" w:ascii="宋体" w:hAnsi="宋体" w:cs="宋体"/>
                <w:szCs w:val="21"/>
                <w:highlight w:val="none"/>
                <w:lang w:val="en-US" w:eastAsia="zh-CN"/>
              </w:rPr>
              <w:t>业务</w:t>
            </w:r>
            <w:r>
              <w:rPr>
                <w:rFonts w:hint="eastAsia" w:ascii="宋体" w:hAnsi="宋体" w:eastAsia="宋体" w:cs="宋体"/>
                <w:szCs w:val="21"/>
                <w:highlight w:val="none"/>
                <w:lang w:val="en-US" w:eastAsia="zh-CN"/>
              </w:rPr>
              <w:t>队伍。评委根据</w:t>
            </w:r>
            <w:r>
              <w:rPr>
                <w:rFonts w:hint="eastAsia" w:ascii="宋体" w:hAnsi="宋体" w:cs="宋体"/>
                <w:szCs w:val="21"/>
                <w:highlight w:val="none"/>
                <w:lang w:val="en-US" w:eastAsia="zh-CN"/>
              </w:rPr>
              <w:t>代理机构</w:t>
            </w:r>
            <w:r>
              <w:rPr>
                <w:rFonts w:hint="eastAsia" w:ascii="宋体" w:hAnsi="宋体" w:eastAsia="宋体" w:cs="宋体"/>
                <w:szCs w:val="21"/>
                <w:highlight w:val="none"/>
                <w:lang w:val="en-US" w:eastAsia="zh-CN"/>
              </w:rPr>
              <w:t>的</w:t>
            </w:r>
            <w:r>
              <w:rPr>
                <w:rFonts w:hint="eastAsia" w:ascii="宋体" w:hAnsi="宋体" w:eastAsia="宋体" w:cs="宋体"/>
                <w:sz w:val="21"/>
                <w:szCs w:val="21"/>
                <w:highlight w:val="none"/>
                <w:lang w:val="en-US" w:eastAsia="en-US"/>
              </w:rPr>
              <w:t>评标出错率、</w:t>
            </w:r>
            <w:r>
              <w:rPr>
                <w:rFonts w:hint="eastAsia" w:ascii="宋体" w:hAnsi="宋体" w:cs="宋体"/>
                <w:sz w:val="21"/>
                <w:szCs w:val="21"/>
                <w:highlight w:val="none"/>
                <w:lang w:val="en-US" w:eastAsia="zh-CN"/>
              </w:rPr>
              <w:t>材料审核、质疑处理效率</w:t>
            </w:r>
            <w:r>
              <w:rPr>
                <w:rFonts w:hint="eastAsia" w:ascii="宋体" w:hAnsi="宋体" w:eastAsia="宋体" w:cs="宋体"/>
                <w:sz w:val="21"/>
                <w:szCs w:val="21"/>
                <w:highlight w:val="none"/>
                <w:lang w:val="en-US" w:eastAsia="en-US"/>
              </w:rPr>
              <w:t>等</w:t>
            </w:r>
            <w:r>
              <w:rPr>
                <w:rFonts w:hint="eastAsia" w:ascii="宋体" w:hAnsi="宋体" w:eastAsia="宋体" w:cs="宋体"/>
                <w:szCs w:val="21"/>
                <w:highlight w:val="none"/>
                <w:lang w:val="en-US" w:eastAsia="zh-CN"/>
              </w:rPr>
              <w:t>方面</w:t>
            </w:r>
            <w:r>
              <w:rPr>
                <w:rFonts w:hint="eastAsia" w:ascii="宋体" w:hAnsi="宋体" w:cs="宋体"/>
                <w:szCs w:val="21"/>
                <w:highlight w:val="none"/>
                <w:lang w:val="en-US" w:eastAsia="zh-CN"/>
              </w:rPr>
              <w:t>进行综合评分</w:t>
            </w:r>
            <w:r>
              <w:rPr>
                <w:rFonts w:hint="eastAsia" w:ascii="宋体" w:hAnsi="宋体" w:eastAsia="宋体" w:cs="宋体"/>
                <w:szCs w:val="21"/>
                <w:highlight w:val="none"/>
                <w:lang w:eastAsia="zh-CN"/>
              </w:rPr>
              <w:t>。</w:t>
            </w:r>
          </w:p>
          <w:p w14:paraId="510AF160">
            <w:pPr>
              <w:spacing w:line="240" w:lineRule="auto"/>
              <w:rPr>
                <w:rFonts w:hint="eastAsia" w:ascii="宋体" w:hAnsi="宋体" w:eastAsia="宋体" w:cs="宋体"/>
                <w:b/>
                <w:bCs/>
                <w:szCs w:val="21"/>
                <w:highlight w:val="none"/>
                <w:lang w:eastAsia="zh-CN"/>
              </w:rPr>
            </w:pPr>
            <w:r>
              <w:rPr>
                <w:rFonts w:hint="eastAsia" w:ascii="宋体" w:hAnsi="宋体" w:eastAsia="宋体" w:cs="宋体"/>
                <w:b/>
                <w:bCs/>
                <w:szCs w:val="21"/>
                <w:highlight w:val="none"/>
              </w:rPr>
              <w:t>（二）评分</w:t>
            </w:r>
            <w:r>
              <w:rPr>
                <w:rFonts w:hint="eastAsia" w:ascii="宋体" w:hAnsi="宋体" w:eastAsia="宋体" w:cs="宋体"/>
                <w:b/>
                <w:bCs/>
                <w:sz w:val="21"/>
                <w:szCs w:val="21"/>
                <w:highlight w:val="none"/>
                <w:lang w:val="en-US" w:eastAsia="zh-CN"/>
              </w:rPr>
              <w:t>标准</w:t>
            </w:r>
            <w:r>
              <w:rPr>
                <w:rFonts w:hint="eastAsia" w:ascii="宋体" w:hAnsi="宋体" w:eastAsia="宋体" w:cs="宋体"/>
                <w:b/>
                <w:bCs/>
                <w:szCs w:val="21"/>
                <w:highlight w:val="none"/>
                <w:lang w:eastAsia="zh-CN"/>
              </w:rPr>
              <w:t>：</w:t>
            </w:r>
          </w:p>
          <w:p w14:paraId="636CFFC2">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以上内容全部提供得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en-US"/>
              </w:rPr>
              <w:t>分，缺项或不提供不得分，在此基础上进行优良中差评审：</w:t>
            </w:r>
          </w:p>
          <w:p w14:paraId="1235194E">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（1）投标文件响应内容全面。</w:t>
            </w:r>
          </w:p>
          <w:p w14:paraId="42E23118">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（2）投标文件响应内容具体。</w:t>
            </w:r>
          </w:p>
          <w:p w14:paraId="66EAEC7E">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（3）投标文件响应内容针对性强。</w:t>
            </w:r>
          </w:p>
          <w:p w14:paraId="4B8CBB9F">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（4）投标文件响应内容科学合理。</w:t>
            </w:r>
          </w:p>
          <w:p w14:paraId="671A183B">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（5）投标文件响应内容可执行性强。</w:t>
            </w:r>
          </w:p>
          <w:p w14:paraId="4DCC4805">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满足以上五项要求的评价为优，得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en-US"/>
              </w:rPr>
              <w:t>分。</w:t>
            </w:r>
          </w:p>
          <w:p w14:paraId="3455D9F3">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满足以上四项要求的评价为良，得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en-US"/>
              </w:rPr>
              <w:t>分。</w:t>
            </w:r>
          </w:p>
          <w:p w14:paraId="0D17AD8B">
            <w:pPr>
              <w:pStyle w:val="6"/>
              <w:spacing w:line="240" w:lineRule="auto"/>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en-US"/>
              </w:rPr>
              <w:t>满足以上三项要求的评价为中，得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en-US"/>
              </w:rPr>
              <w:t>分。</w:t>
            </w:r>
          </w:p>
          <w:p w14:paraId="4ED7C4BF">
            <w:pPr>
              <w:pStyle w:val="6"/>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rPr>
              <w:t>其它情况的评价为差，不得分</w:t>
            </w:r>
            <w:r>
              <w:rPr>
                <w:rFonts w:hint="eastAsia" w:ascii="宋体" w:hAnsi="宋体" w:eastAsia="宋体" w:cs="宋体"/>
                <w:color w:val="auto"/>
                <w:sz w:val="21"/>
                <w:szCs w:val="21"/>
                <w:highlight w:val="none"/>
              </w:rPr>
              <w:t>。</w:t>
            </w:r>
          </w:p>
          <w:p w14:paraId="7105E852">
            <w:pPr>
              <w:pStyle w:val="2"/>
              <w:rPr>
                <w:rFonts w:hint="eastAsia" w:ascii="宋体" w:hAnsi="宋体" w:eastAsia="宋体" w:cs="宋体"/>
                <w:sz w:val="21"/>
                <w:szCs w:val="21"/>
                <w:highlight w:val="none"/>
                <w:lang w:eastAsia="zh-CN"/>
              </w:rPr>
            </w:pPr>
            <w:r>
              <w:rPr>
                <w:rFonts w:hint="eastAsia" w:ascii="宋体" w:hAnsi="宋体" w:eastAsia="宋体" w:cs="宋体"/>
                <w:color w:val="auto"/>
                <w:sz w:val="21"/>
                <w:szCs w:val="21"/>
                <w:highlight w:val="none"/>
                <w:lang w:eastAsia="zh-CN"/>
              </w:rPr>
              <w:t>专家按实际分打分</w:t>
            </w:r>
            <w:r>
              <w:rPr>
                <w:rFonts w:hint="eastAsia" w:ascii="宋体" w:hAnsi="宋体" w:eastAsia="宋体" w:cs="宋体"/>
                <w:color w:val="auto"/>
                <w:sz w:val="21"/>
                <w:szCs w:val="21"/>
                <w:highlight w:val="none"/>
              </w:rPr>
              <w:t>。如果评审为差，要求专家书面说明理由，并记录在档。</w:t>
            </w:r>
          </w:p>
        </w:tc>
      </w:tr>
      <w:tr w14:paraId="0AD60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382C3671">
            <w:pPr>
              <w:jc w:val="center"/>
              <w:rPr>
                <w:rFonts w:hint="eastAsia" w:ascii="宋体" w:hAnsi="宋体" w:eastAsia="宋体" w:cs="宋体"/>
                <w:color w:val="000000"/>
                <w:sz w:val="21"/>
                <w:szCs w:val="21"/>
                <w:highlight w:val="none"/>
              </w:rPr>
            </w:pPr>
          </w:p>
        </w:tc>
        <w:tc>
          <w:tcPr>
            <w:tcW w:w="1177" w:type="dxa"/>
            <w:vAlign w:val="center"/>
          </w:tcPr>
          <w:p w14:paraId="63BA9032">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en-US"/>
              </w:rPr>
              <w:t>免费增值服务</w:t>
            </w:r>
          </w:p>
        </w:tc>
        <w:tc>
          <w:tcPr>
            <w:tcW w:w="662" w:type="dxa"/>
            <w:vAlign w:val="center"/>
          </w:tcPr>
          <w:p w14:paraId="1DC41D56">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6347" w:type="dxa"/>
            <w:vAlign w:val="top"/>
          </w:tcPr>
          <w:p w14:paraId="40047349">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（一）评分内容：</w:t>
            </w:r>
          </w:p>
          <w:p w14:paraId="2CA16D5B">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投标人承诺提供服务期内免费增值服务：</w:t>
            </w:r>
          </w:p>
          <w:p w14:paraId="6B76AFF6">
            <w:pPr>
              <w:ind w:right="25" w:rightChars="12"/>
              <w:jc w:val="left"/>
              <w:rPr>
                <w:rFonts w:hint="eastAsia" w:ascii="宋体" w:hAnsi="宋体" w:eastAsia="宋体" w:cs="宋体"/>
                <w:color w:val="auto"/>
                <w:sz w:val="21"/>
                <w:szCs w:val="21"/>
                <w:highlight w:val="none"/>
                <w:lang w:val="en-US" w:eastAsia="zh-CN"/>
              </w:rPr>
            </w:pPr>
            <w:r>
              <w:rPr>
                <w:rFonts w:hint="eastAsia"/>
                <w:highlight w:val="none"/>
                <w:lang w:eastAsia="zh-CN"/>
              </w:rPr>
              <w:t>增值服务</w:t>
            </w:r>
            <w:r>
              <w:rPr>
                <w:rFonts w:hint="eastAsia" w:ascii="宋体" w:hAnsi="宋体" w:cs="宋体"/>
                <w:color w:val="auto"/>
                <w:sz w:val="21"/>
                <w:szCs w:val="21"/>
                <w:highlight w:val="none"/>
                <w:lang w:val="en-US" w:eastAsia="zh-CN"/>
              </w:rPr>
              <w:t>不限形式，例如提供评标专家接送服务、上门评标等。（提供承诺函，格式自拟）</w:t>
            </w:r>
            <w:r>
              <w:rPr>
                <w:rFonts w:hint="eastAsia" w:ascii="宋体" w:hAnsi="宋体" w:eastAsia="宋体" w:cs="宋体"/>
                <w:color w:val="auto"/>
                <w:sz w:val="21"/>
                <w:szCs w:val="21"/>
                <w:highlight w:val="none"/>
                <w:lang w:val="en-US" w:eastAsia="zh-CN"/>
              </w:rPr>
              <w:t>。</w:t>
            </w:r>
          </w:p>
          <w:p w14:paraId="7083C699">
            <w:pPr>
              <w:spacing w:line="24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（二）评分标准：</w:t>
            </w:r>
          </w:p>
          <w:p w14:paraId="77973A99">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根据投标人提供的增值服务方案进行优良中差的评审。</w:t>
            </w:r>
          </w:p>
          <w:p w14:paraId="3237D7D5">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（1）投标文件响应内容全面。</w:t>
            </w:r>
          </w:p>
          <w:p w14:paraId="6512BF18">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（2）投标文件响应内容具体。</w:t>
            </w:r>
          </w:p>
          <w:p w14:paraId="3CABF534">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（3）投标文件响应内容针对性强。</w:t>
            </w:r>
          </w:p>
          <w:p w14:paraId="30CD67DE">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（4）投标文件响应内容科学合理。</w:t>
            </w:r>
          </w:p>
          <w:p w14:paraId="70D0E833">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（5）投标文件响应内容可执行性强。</w:t>
            </w:r>
          </w:p>
          <w:p w14:paraId="5682F688">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满足以上五项要求的评价为优，得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14:paraId="45902105">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满足以上四项要求的评价为良，得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7F4827EF">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满足以上三项要求的评价为中，得1分。</w:t>
            </w:r>
          </w:p>
          <w:p w14:paraId="00FA3E9B">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其它情况的评价为差，不得分。</w:t>
            </w:r>
          </w:p>
          <w:p w14:paraId="782FB426">
            <w:pPr>
              <w:ind w:right="25" w:rightChars="1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专家按</w:t>
            </w:r>
            <w:r>
              <w:rPr>
                <w:rFonts w:hint="eastAsia" w:ascii="宋体" w:hAnsi="宋体" w:eastAsia="宋体" w:cs="宋体"/>
                <w:color w:val="auto"/>
                <w:sz w:val="21"/>
                <w:szCs w:val="21"/>
                <w:highlight w:val="none"/>
                <w:lang w:val="en-US" w:eastAsia="zh-CN"/>
              </w:rPr>
              <w:t>实际分</w:t>
            </w:r>
            <w:r>
              <w:rPr>
                <w:rFonts w:hint="eastAsia" w:ascii="宋体" w:hAnsi="宋体" w:eastAsia="宋体" w:cs="宋体"/>
                <w:color w:val="auto"/>
                <w:sz w:val="21"/>
                <w:szCs w:val="21"/>
                <w:highlight w:val="none"/>
              </w:rPr>
              <w:t>打分。如果评审为差，要求专家书面说明理由，并记录在档。</w:t>
            </w:r>
          </w:p>
        </w:tc>
      </w:tr>
      <w:tr w14:paraId="3C53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vMerge w:val="restart"/>
            <w:vAlign w:val="center"/>
          </w:tcPr>
          <w:p w14:paraId="7DA51DF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商务标（X）</w:t>
            </w:r>
          </w:p>
          <w:p w14:paraId="22525C4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tc>
        <w:tc>
          <w:tcPr>
            <w:tcW w:w="1177" w:type="dxa"/>
            <w:shd w:val="clear" w:color="auto" w:fill="auto"/>
            <w:vAlign w:val="center"/>
          </w:tcPr>
          <w:p w14:paraId="75341768">
            <w:pPr>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rPr>
              <w:t>同类业绩</w:t>
            </w:r>
          </w:p>
        </w:tc>
        <w:tc>
          <w:tcPr>
            <w:tcW w:w="662" w:type="dxa"/>
            <w:shd w:val="clear" w:color="auto" w:fill="auto"/>
            <w:vAlign w:val="center"/>
          </w:tcPr>
          <w:p w14:paraId="3B6C71A5">
            <w:pPr>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12</w:t>
            </w:r>
          </w:p>
        </w:tc>
        <w:tc>
          <w:tcPr>
            <w:tcW w:w="6347" w:type="dxa"/>
            <w:shd w:val="clear" w:color="auto" w:fill="auto"/>
            <w:vAlign w:val="top"/>
          </w:tcPr>
          <w:p w14:paraId="2DD3F314">
            <w:pPr>
              <w:numPr>
                <w:ilvl w:val="-1"/>
                <w:numId w:val="0"/>
              </w:numPr>
              <w:spacing w:line="240" w:lineRule="auto"/>
              <w:rPr>
                <w:rFonts w:hint="eastAsia" w:ascii="宋体" w:hAnsi="宋体" w:eastAsia="宋体" w:cs="宋体"/>
                <w:color w:val="auto"/>
                <w:sz w:val="21"/>
                <w:szCs w:val="21"/>
                <w:highlight w:val="none"/>
              </w:rPr>
            </w:pP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评分内容：</w:t>
            </w:r>
          </w:p>
          <w:p w14:paraId="357B5DB0">
            <w:pPr>
              <w:pStyle w:val="2"/>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投标人近三年（2023年1月1号至本项目投标截止之日）同类业绩情况</w:t>
            </w:r>
            <w:r>
              <w:rPr>
                <w:rFonts w:hint="eastAsia" w:ascii="宋体" w:hAnsi="宋体" w:cs="宋体"/>
                <w:color w:val="auto"/>
                <w:sz w:val="21"/>
                <w:szCs w:val="21"/>
                <w:highlight w:val="none"/>
                <w:vertAlign w:val="baseline"/>
                <w:lang w:val="en-US" w:eastAsia="zh-CN"/>
              </w:rPr>
              <w:t>（同类业绩指</w:t>
            </w:r>
            <w:r>
              <w:rPr>
                <w:rFonts w:hint="eastAsia" w:ascii="宋体" w:hAnsi="宋体" w:cs="宋体"/>
                <w:color w:val="auto"/>
                <w:sz w:val="21"/>
                <w:szCs w:val="21"/>
                <w:highlight w:val="none"/>
                <w:lang w:val="en-US" w:eastAsia="zh-CN"/>
              </w:rPr>
              <w:t>医疗类</w:t>
            </w:r>
            <w:r>
              <w:rPr>
                <w:rFonts w:hint="eastAsia" w:ascii="宋体" w:hAnsi="宋体" w:cs="宋体"/>
                <w:color w:val="auto"/>
                <w:sz w:val="21"/>
                <w:szCs w:val="21"/>
                <w:highlight w:val="none"/>
                <w:vertAlign w:val="baseline"/>
                <w:lang w:val="en-US" w:eastAsia="zh-CN"/>
              </w:rPr>
              <w:t>年度代理合作协议，非单次项目代理）</w:t>
            </w:r>
            <w:r>
              <w:rPr>
                <w:rFonts w:hint="eastAsia" w:ascii="宋体" w:hAnsi="宋体" w:eastAsia="宋体" w:cs="宋体"/>
                <w:color w:val="auto"/>
                <w:sz w:val="21"/>
                <w:szCs w:val="21"/>
                <w:highlight w:val="none"/>
                <w:vertAlign w:val="baseline"/>
                <w:lang w:val="en-US" w:eastAsia="zh-CN"/>
              </w:rPr>
              <w:t>，每提供1个</w:t>
            </w:r>
            <w:r>
              <w:rPr>
                <w:rFonts w:hint="eastAsia" w:ascii="宋体" w:hAnsi="宋体" w:cs="宋体"/>
                <w:color w:val="auto"/>
                <w:sz w:val="21"/>
                <w:szCs w:val="21"/>
                <w:highlight w:val="none"/>
                <w:lang w:val="en-US" w:eastAsia="zh-CN"/>
              </w:rPr>
              <w:t>医疗类</w:t>
            </w:r>
            <w:r>
              <w:rPr>
                <w:rFonts w:hint="eastAsia" w:ascii="宋体" w:hAnsi="宋体" w:eastAsia="宋体" w:cs="宋体"/>
                <w:color w:val="auto"/>
                <w:sz w:val="21"/>
                <w:szCs w:val="21"/>
                <w:highlight w:val="none"/>
                <w:vertAlign w:val="baseline"/>
                <w:lang w:val="en-US" w:eastAsia="zh-CN"/>
              </w:rPr>
              <w:t>业绩得</w:t>
            </w:r>
            <w:r>
              <w:rPr>
                <w:rFonts w:hint="eastAsia" w:ascii="宋体" w:hAnsi="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分，</w:t>
            </w:r>
            <w:r>
              <w:rPr>
                <w:rFonts w:hint="eastAsia" w:ascii="宋体" w:hAnsi="宋体" w:cs="宋体"/>
                <w:color w:val="auto"/>
                <w:sz w:val="21"/>
                <w:szCs w:val="21"/>
                <w:highlight w:val="none"/>
                <w:vertAlign w:val="baseline"/>
                <w:lang w:val="en-US" w:eastAsia="zh-CN"/>
              </w:rPr>
              <w:t>最高得12分，</w:t>
            </w:r>
            <w:r>
              <w:rPr>
                <w:rFonts w:hint="eastAsia" w:ascii="宋体" w:hAnsi="宋体" w:eastAsia="宋体" w:cs="宋体"/>
                <w:color w:val="auto"/>
                <w:sz w:val="21"/>
                <w:szCs w:val="21"/>
                <w:highlight w:val="none"/>
                <w:vertAlign w:val="baseline"/>
                <w:lang w:val="en-US" w:eastAsia="zh-CN"/>
              </w:rPr>
              <w:t>未提供的不得分</w:t>
            </w:r>
            <w:r>
              <w:rPr>
                <w:rFonts w:hint="eastAsia" w:ascii="宋体" w:hAnsi="宋体" w:cs="宋体"/>
                <w:color w:val="auto"/>
                <w:sz w:val="21"/>
                <w:szCs w:val="21"/>
                <w:highlight w:val="none"/>
                <w:lang w:val="en-US" w:eastAsia="zh-CN"/>
              </w:rPr>
              <w:t>。</w:t>
            </w:r>
          </w:p>
          <w:p w14:paraId="256EBAFD">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000000" w:themeColor="text1"/>
                <w:sz w:val="21"/>
                <w:szCs w:val="21"/>
                <w:highlight w:val="none"/>
                <w14:textFill>
                  <w14:solidFill>
                    <w14:schemeClr w14:val="tx1"/>
                  </w14:solidFill>
                </w14:textFill>
              </w:rPr>
              <w:t>（二）评分依据：</w:t>
            </w:r>
          </w:p>
          <w:p w14:paraId="64B526B9">
            <w:pPr>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vertAlign w:val="baseline"/>
                <w:lang w:val="en-US" w:eastAsia="zh-CN"/>
              </w:rPr>
              <w:t>投标人必须在投标文件中提供每一个</w:t>
            </w:r>
            <w:r>
              <w:rPr>
                <w:rFonts w:hint="eastAsia" w:ascii="宋体" w:hAnsi="宋体" w:cs="宋体"/>
                <w:color w:val="auto"/>
                <w:sz w:val="21"/>
                <w:szCs w:val="21"/>
                <w:highlight w:val="none"/>
                <w:vertAlign w:val="baseline"/>
                <w:lang w:val="en-US" w:eastAsia="zh-CN"/>
              </w:rPr>
              <w:t>业绩</w:t>
            </w:r>
            <w:r>
              <w:rPr>
                <w:rFonts w:hint="eastAsia" w:ascii="宋体" w:hAnsi="宋体" w:eastAsia="宋体" w:cs="宋体"/>
                <w:color w:val="auto"/>
                <w:sz w:val="21"/>
                <w:szCs w:val="21"/>
                <w:highlight w:val="none"/>
                <w:vertAlign w:val="baseline"/>
                <w:lang w:val="en-US" w:eastAsia="zh-CN"/>
              </w:rPr>
              <w:t>的合同复印件，原件备查，否则不得分。</w:t>
            </w:r>
          </w:p>
        </w:tc>
      </w:tr>
      <w:tr w14:paraId="72358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8" w:type="dxa"/>
            <w:vMerge w:val="continue"/>
            <w:vAlign w:val="center"/>
          </w:tcPr>
          <w:p w14:paraId="1D009AFD">
            <w:pPr>
              <w:jc w:val="center"/>
              <w:rPr>
                <w:rFonts w:hint="eastAsia" w:ascii="宋体" w:hAnsi="宋体" w:eastAsia="宋体" w:cs="宋体"/>
                <w:color w:val="000000"/>
                <w:sz w:val="21"/>
                <w:szCs w:val="21"/>
                <w:highlight w:val="none"/>
              </w:rPr>
            </w:pPr>
          </w:p>
        </w:tc>
        <w:tc>
          <w:tcPr>
            <w:tcW w:w="1177" w:type="dxa"/>
            <w:shd w:val="clear" w:color="auto" w:fill="auto"/>
            <w:vAlign w:val="center"/>
          </w:tcPr>
          <w:p w14:paraId="58607BEA">
            <w:pP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投标人拟投入的软件（平台或系统）情况</w:t>
            </w:r>
          </w:p>
        </w:tc>
        <w:tc>
          <w:tcPr>
            <w:tcW w:w="662" w:type="dxa"/>
            <w:shd w:val="clear" w:color="auto" w:fill="auto"/>
            <w:vAlign w:val="center"/>
          </w:tcPr>
          <w:p w14:paraId="56DB1101">
            <w:pPr>
              <w:spacing w:line="240" w:lineRule="auto"/>
              <w:jc w:val="center"/>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8</w:t>
            </w:r>
          </w:p>
        </w:tc>
        <w:tc>
          <w:tcPr>
            <w:tcW w:w="6347" w:type="dxa"/>
            <w:shd w:val="clear" w:color="auto" w:fill="auto"/>
            <w:vAlign w:val="top"/>
          </w:tcPr>
          <w:p w14:paraId="61D65F79">
            <w:pPr>
              <w:pStyle w:val="1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（一）评分内容：</w:t>
            </w:r>
          </w:p>
          <w:p w14:paraId="5501D37E">
            <w:pPr>
              <w:pStyle w:val="10"/>
              <w:rPr>
                <w:rFonts w:hint="default"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1.代理公司有本公司专属评标系统（非交易集团招采系统），得6分；</w:t>
            </w:r>
          </w:p>
          <w:p w14:paraId="5AF38E4A">
            <w:pPr>
              <w:rPr>
                <w:rFonts w:hint="default"/>
                <w:highlight w:val="none"/>
                <w:lang w:val="en-US" w:eastAsia="zh-CN"/>
              </w:rPr>
            </w:pPr>
            <w:r>
              <w:rPr>
                <w:rFonts w:hint="eastAsia" w:ascii="宋体" w:hAnsi="宋体" w:cs="宋体"/>
                <w:kern w:val="2"/>
                <w:sz w:val="21"/>
                <w:szCs w:val="21"/>
                <w:highlight w:val="none"/>
                <w:lang w:val="en-US" w:eastAsia="zh-CN" w:bidi="ar-SA"/>
              </w:rPr>
              <w:t>2.为采购人提供市场价查询系统，得2分。</w:t>
            </w:r>
          </w:p>
          <w:p w14:paraId="4DBB642F">
            <w:pPr>
              <w:pStyle w:val="6"/>
              <w:spacing w:line="24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sz w:val="21"/>
                <w:szCs w:val="21"/>
                <w:highlight w:val="none"/>
                <w:lang w:val="en-US" w:eastAsia="en-US"/>
              </w:rPr>
              <w:t>以上内容全部提供得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en-US"/>
              </w:rPr>
              <w:t>分</w:t>
            </w:r>
            <w:r>
              <w:rPr>
                <w:rFonts w:hint="eastAsia" w:ascii="宋体" w:hAnsi="宋体" w:cs="宋体"/>
                <w:color w:val="auto"/>
                <w:sz w:val="21"/>
                <w:szCs w:val="21"/>
                <w:highlight w:val="none"/>
                <w:lang w:val="en-US" w:eastAsia="zh-CN"/>
              </w:rPr>
              <w:t>。</w:t>
            </w:r>
          </w:p>
          <w:p w14:paraId="51502FDE">
            <w:pPr>
              <w:pStyle w:val="1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（二）评分依据：</w:t>
            </w:r>
          </w:p>
          <w:p w14:paraId="23122F06">
            <w:pPr>
              <w:pStyle w:val="1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（1）提供体现上述</w:t>
            </w:r>
            <w:r>
              <w:rPr>
                <w:rFonts w:hint="eastAsia" w:ascii="宋体" w:hAnsi="宋体" w:cs="宋体"/>
                <w:kern w:val="2"/>
                <w:sz w:val="21"/>
                <w:szCs w:val="21"/>
                <w:highlight w:val="none"/>
                <w:lang w:val="en-US" w:eastAsia="zh-CN" w:bidi="ar-SA"/>
              </w:rPr>
              <w:t>功能</w:t>
            </w:r>
            <w:r>
              <w:rPr>
                <w:rFonts w:hint="eastAsia" w:ascii="宋体" w:hAnsi="宋体" w:eastAsia="宋体" w:cs="宋体"/>
                <w:kern w:val="2"/>
                <w:sz w:val="21"/>
                <w:szCs w:val="21"/>
                <w:highlight w:val="none"/>
                <w:lang w:val="en-US" w:eastAsia="zh-CN" w:bidi="ar-SA"/>
              </w:rPr>
              <w:t>要求的软件（或系统或平台）截图</w:t>
            </w:r>
            <w:r>
              <w:rPr>
                <w:rFonts w:hint="eastAsia" w:ascii="宋体" w:hAnsi="宋体" w:cs="宋体"/>
                <w:kern w:val="2"/>
                <w:sz w:val="21"/>
                <w:szCs w:val="21"/>
                <w:highlight w:val="none"/>
                <w:lang w:val="en-US" w:eastAsia="zh-CN" w:bidi="ar-SA"/>
              </w:rPr>
              <w:t>或能证明以上功能要求的计算机软件著作权登记证书</w:t>
            </w:r>
            <w:r>
              <w:rPr>
                <w:rFonts w:hint="eastAsia" w:ascii="宋体" w:hAnsi="宋体" w:eastAsia="宋体" w:cs="宋体"/>
                <w:kern w:val="2"/>
                <w:sz w:val="21"/>
                <w:szCs w:val="21"/>
                <w:highlight w:val="none"/>
                <w:lang w:val="en-US" w:eastAsia="zh-CN" w:bidi="ar-SA"/>
              </w:rPr>
              <w:t>；如表述不一致，但意思或功能相同的，也视为符合</w:t>
            </w:r>
            <w:r>
              <w:rPr>
                <w:rFonts w:hint="eastAsia" w:ascii="宋体" w:hAnsi="宋体" w:cs="宋体"/>
                <w:kern w:val="2"/>
                <w:sz w:val="21"/>
                <w:szCs w:val="21"/>
                <w:highlight w:val="none"/>
                <w:lang w:val="en-US" w:eastAsia="zh-CN" w:bidi="ar-SA"/>
              </w:rPr>
              <w:t>。</w:t>
            </w:r>
          </w:p>
          <w:p w14:paraId="66172812">
            <w:pPr>
              <w:pStyle w:val="1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（2）供应商</w:t>
            </w:r>
            <w:r>
              <w:rPr>
                <w:rFonts w:hint="eastAsia" w:ascii="宋体" w:hAnsi="宋体" w:cs="宋体"/>
                <w:kern w:val="2"/>
                <w:sz w:val="21"/>
                <w:szCs w:val="21"/>
                <w:highlight w:val="none"/>
                <w:lang w:val="en-US" w:eastAsia="zh-CN" w:bidi="ar-SA"/>
              </w:rPr>
              <w:t>还需同时</w:t>
            </w:r>
            <w:r>
              <w:rPr>
                <w:rFonts w:hint="eastAsia" w:ascii="宋体" w:hAnsi="宋体" w:eastAsia="宋体" w:cs="宋体"/>
                <w:kern w:val="2"/>
                <w:sz w:val="21"/>
                <w:szCs w:val="21"/>
                <w:highlight w:val="none"/>
                <w:lang w:val="en-US" w:eastAsia="zh-CN" w:bidi="ar-SA"/>
              </w:rPr>
              <w:t>提供承诺函（格式自拟），承诺：所提供的上述软件（或系统或平台）不存在知识产权纠纷、侵权，不存在服务期间不能为本项目正常使用，不存在其他违反法律、法规的问题，直到本项目服务结束。如因出现上述问题所引发的所有不利后果由供应商全部承担</w:t>
            </w:r>
          </w:p>
        </w:tc>
      </w:tr>
      <w:tr w14:paraId="74E3B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Merge w:val="continue"/>
            <w:vAlign w:val="center"/>
          </w:tcPr>
          <w:p w14:paraId="1FBE9676">
            <w:pPr>
              <w:jc w:val="center"/>
              <w:rPr>
                <w:rFonts w:hint="eastAsia" w:ascii="宋体" w:hAnsi="宋体" w:eastAsia="宋体" w:cs="宋体"/>
                <w:color w:val="000000"/>
                <w:sz w:val="21"/>
                <w:szCs w:val="21"/>
                <w:highlight w:val="none"/>
              </w:rPr>
            </w:pPr>
          </w:p>
        </w:tc>
        <w:tc>
          <w:tcPr>
            <w:tcW w:w="1177" w:type="dxa"/>
            <w:vAlign w:val="center"/>
          </w:tcPr>
          <w:p w14:paraId="3E41F43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诚信管理情况</w:t>
            </w:r>
          </w:p>
        </w:tc>
        <w:tc>
          <w:tcPr>
            <w:tcW w:w="662" w:type="dxa"/>
            <w:vAlign w:val="center"/>
          </w:tcPr>
          <w:p w14:paraId="52D4565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6347" w:type="dxa"/>
            <w:vAlign w:val="center"/>
          </w:tcPr>
          <w:p w14:paraId="198BC7E4">
            <w:pPr>
              <w:widowControl/>
              <w:rPr>
                <w:rFonts w:hint="eastAsia" w:ascii="宋体" w:hAnsi="宋体" w:eastAsia="宋体" w:cs="宋体"/>
                <w:b/>
                <w:bCs/>
                <w:color w:val="000000"/>
                <w:sz w:val="21"/>
                <w:szCs w:val="21"/>
                <w:highlight w:val="none"/>
              </w:rPr>
            </w:pPr>
            <w:r>
              <w:rPr>
                <w:rFonts w:hint="eastAsia" w:ascii="宋体" w:hAnsi="宋体" w:eastAsia="宋体" w:cs="宋体"/>
                <w:bCs/>
                <w:sz w:val="21"/>
                <w:szCs w:val="21"/>
                <w:highlight w:val="none"/>
                <w:lang w:bidi="ar"/>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采购代理机构通过“信用中国”、“中国政府采购网”、“深圳市政府采购监管网”等渠道查询供应商信用信息，投标人无需提供证明材料。）</w:t>
            </w:r>
          </w:p>
        </w:tc>
      </w:tr>
      <w:tr w14:paraId="0C46A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68" w:type="dxa"/>
            <w:vAlign w:val="center"/>
          </w:tcPr>
          <w:p w14:paraId="2B2F3BF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评标总得分（N）</w:t>
            </w:r>
          </w:p>
          <w:p w14:paraId="4C882CD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总分100分</w:t>
            </w:r>
          </w:p>
        </w:tc>
        <w:tc>
          <w:tcPr>
            <w:tcW w:w="8186" w:type="dxa"/>
            <w:gridSpan w:val="3"/>
            <w:vAlign w:val="center"/>
          </w:tcPr>
          <w:p w14:paraId="2B66326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N=S+J+X</w:t>
            </w:r>
          </w:p>
        </w:tc>
      </w:tr>
    </w:tbl>
    <w:p w14:paraId="5E1017BB">
      <w:pPr>
        <w:widowControl/>
        <w:jc w:val="left"/>
        <w:rPr>
          <w:rFonts w:ascii="宋体" w:hAnsi="宋体" w:cs="宋体"/>
          <w:sz w:val="36"/>
          <w:szCs w:val="36"/>
          <w:highlight w:val="none"/>
        </w:rPr>
        <w:sectPr>
          <w:pgSz w:w="12240" w:h="15840"/>
          <w:pgMar w:top="1440" w:right="1800" w:bottom="1440" w:left="1800" w:header="720" w:footer="720" w:gutter="0"/>
          <w:pgNumType w:start="1"/>
          <w:cols w:space="720" w:num="1"/>
          <w:titlePg/>
        </w:sectPr>
      </w:pPr>
    </w:p>
    <w:p w14:paraId="0008BDBD">
      <w:pPr>
        <w:pStyle w:val="2"/>
        <w:rPr>
          <w:highlight w:val="none"/>
        </w:rPr>
      </w:pPr>
    </w:p>
    <w:p w14:paraId="5061FC59">
      <w:pPr>
        <w:widowControl/>
        <w:shd w:val="clear" w:color="auto" w:fill="FFFFFF"/>
        <w:spacing w:line="312" w:lineRule="auto"/>
        <w:jc w:val="center"/>
        <w:outlineLvl w:val="1"/>
        <w:rPr>
          <w:rFonts w:ascii="宋体" w:hAnsi="宋体" w:cs="宋体"/>
          <w:b/>
          <w:bCs/>
          <w:sz w:val="36"/>
          <w:szCs w:val="36"/>
          <w:highlight w:val="none"/>
        </w:rPr>
      </w:pPr>
      <w:bookmarkStart w:id="74" w:name="_Toc14508"/>
      <w:r>
        <w:rPr>
          <w:rFonts w:hint="eastAsia" w:ascii="宋体" w:hAnsi="宋体" w:cs="宋体"/>
          <w:b/>
          <w:bCs/>
          <w:sz w:val="36"/>
          <w:szCs w:val="36"/>
          <w:highlight w:val="none"/>
        </w:rPr>
        <w:t>第三章用户需求书</w:t>
      </w:r>
      <w:bookmarkEnd w:id="74"/>
    </w:p>
    <w:p w14:paraId="4A520450">
      <w:pPr>
        <w:spacing w:line="288" w:lineRule="auto"/>
        <w:rPr>
          <w:rFonts w:ascii="宋体" w:hAnsi="宋体" w:cs="宋体"/>
          <w:szCs w:val="21"/>
          <w:highlight w:val="none"/>
        </w:rPr>
      </w:pPr>
    </w:p>
    <w:p w14:paraId="21861077">
      <w:pPr>
        <w:tabs>
          <w:tab w:val="left" w:pos="900"/>
        </w:tabs>
        <w:spacing w:line="288" w:lineRule="auto"/>
        <w:outlineLvl w:val="2"/>
        <w:rPr>
          <w:rFonts w:ascii="宋体" w:hAnsi="宋体" w:cs="宋体"/>
          <w:b/>
          <w:bCs/>
          <w:color w:val="000000"/>
          <w:szCs w:val="21"/>
          <w:highlight w:val="none"/>
        </w:rPr>
      </w:pPr>
      <w:r>
        <w:rPr>
          <w:rFonts w:hint="eastAsia" w:ascii="宋体" w:hAnsi="宋体" w:cs="宋体"/>
          <w:b/>
          <w:bCs/>
          <w:color w:val="000000"/>
          <w:szCs w:val="21"/>
          <w:highlight w:val="none"/>
          <w:lang w:val="en-US" w:eastAsia="zh-CN"/>
        </w:rPr>
        <w:t>一</w:t>
      </w:r>
      <w:r>
        <w:rPr>
          <w:rFonts w:hint="eastAsia" w:ascii="宋体" w:hAnsi="宋体" w:cs="宋体"/>
          <w:b/>
          <w:bCs/>
          <w:color w:val="000000"/>
          <w:szCs w:val="21"/>
          <w:highlight w:val="none"/>
        </w:rPr>
        <w:t>、具体</w:t>
      </w:r>
      <w:r>
        <w:rPr>
          <w:rFonts w:hint="eastAsia" w:ascii="宋体" w:hAnsi="宋体" w:cs="宋体"/>
          <w:b/>
          <w:bCs/>
          <w:color w:val="000000"/>
          <w:szCs w:val="21"/>
          <w:highlight w:val="none"/>
          <w:lang w:val="en-US" w:eastAsia="zh-CN"/>
        </w:rPr>
        <w:t>服务</w:t>
      </w:r>
      <w:r>
        <w:rPr>
          <w:rFonts w:hint="eastAsia" w:ascii="宋体" w:hAnsi="宋体" w:cs="宋体"/>
          <w:b/>
          <w:bCs/>
          <w:color w:val="000000"/>
          <w:szCs w:val="21"/>
          <w:highlight w:val="none"/>
        </w:rPr>
        <w:t>要求</w:t>
      </w:r>
    </w:p>
    <w:tbl>
      <w:tblPr>
        <w:tblStyle w:val="14"/>
        <w:tblW w:w="9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6891"/>
      </w:tblGrid>
      <w:tr w14:paraId="723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60" w:type="dxa"/>
            <w:vAlign w:val="center"/>
          </w:tcPr>
          <w:p w14:paraId="650CC459">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序号</w:t>
            </w:r>
          </w:p>
        </w:tc>
        <w:tc>
          <w:tcPr>
            <w:tcW w:w="1620" w:type="dxa"/>
            <w:vAlign w:val="center"/>
          </w:tcPr>
          <w:p w14:paraId="4D33244D">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目录</w:t>
            </w:r>
          </w:p>
        </w:tc>
        <w:tc>
          <w:tcPr>
            <w:tcW w:w="6891" w:type="dxa"/>
            <w:vAlign w:val="center"/>
          </w:tcPr>
          <w:p w14:paraId="57BC9B81">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项目需求说明</w:t>
            </w:r>
          </w:p>
        </w:tc>
      </w:tr>
      <w:tr w14:paraId="6F1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71" w:type="dxa"/>
            <w:gridSpan w:val="3"/>
          </w:tcPr>
          <w:p w14:paraId="6F8C6771">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（一）代理机构工作内容及效率要求</w:t>
            </w:r>
          </w:p>
        </w:tc>
      </w:tr>
      <w:tr w14:paraId="7DE1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0" w:type="dxa"/>
            <w:vAlign w:val="center"/>
          </w:tcPr>
          <w:p w14:paraId="748A7AB5">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1</w:t>
            </w:r>
          </w:p>
        </w:tc>
        <w:tc>
          <w:tcPr>
            <w:tcW w:w="1620" w:type="dxa"/>
            <w:vAlign w:val="center"/>
          </w:tcPr>
          <w:p w14:paraId="4F1B5B4C">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工作内容</w:t>
            </w:r>
          </w:p>
        </w:tc>
        <w:tc>
          <w:tcPr>
            <w:tcW w:w="6891" w:type="dxa"/>
          </w:tcPr>
          <w:p w14:paraId="76A93AF5">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1.1根据我院提供的采购需求，编制、发售、解释招标文件；</w:t>
            </w:r>
          </w:p>
          <w:p w14:paraId="2B28D5A1">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1.2协助我院编制评分指标；</w:t>
            </w:r>
          </w:p>
          <w:p w14:paraId="0F8673E7">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1.3在政府采购监督管理部门指定媒体上发布信息公告（发布招标公告、变更延期公告、发布中标结果公示），发送中标（成交）通知书；</w:t>
            </w:r>
          </w:p>
          <w:p w14:paraId="5B9F03A2">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1.4受理潜在投标人对招标文件条款提出的疑问或质疑，并结合我院意见予以澄清；</w:t>
            </w:r>
          </w:p>
          <w:p w14:paraId="7FFA6AB3">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1.5依法抽取专家，组建评审委员会；</w:t>
            </w:r>
          </w:p>
          <w:p w14:paraId="0742768B">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1.6协助我院对投标人的资格进行审查或接受我院全权委托对投标人的资格进行审查；</w:t>
            </w:r>
          </w:p>
          <w:p w14:paraId="09203B97">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1.7组织开标、评审工作，并做好评审记录，提供技术支持和物资保障；对开评标过程进行全程监督，对开评标结果进行复核，确保评审结果无误，为我院采购项目定标决策出具建议；</w:t>
            </w:r>
          </w:p>
          <w:p w14:paraId="52A4B010">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1.8接受投标人质疑，根据我院意见给予回复，并配合我院处理投诉（如有）；</w:t>
            </w:r>
          </w:p>
          <w:p w14:paraId="565DBC6F">
            <w:pPr>
              <w:adjustRightInd w:val="0"/>
              <w:snapToGrid w:val="0"/>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1.9按政府采购及招投标相关法律要求移交招投标文档给我院（相关开标及评审活动应当全程录音录像，录音录像应当清晰可辨），并保留招投标过程文档以备查验；</w:t>
            </w:r>
          </w:p>
          <w:p w14:paraId="61064E34">
            <w:pPr>
              <w:adjustRightInd w:val="0"/>
              <w:snapToGrid w:val="0"/>
              <w:spacing w:line="240" w:lineRule="auto"/>
              <w:ind w:firstLine="0" w:firstLineChars="0"/>
              <w:rPr>
                <w:rFonts w:ascii="Times New Roman" w:hAnsi="Times New Roman" w:eastAsia="宋体" w:cs="Times New Roman"/>
                <w:b w:val="0"/>
                <w:bCs w:val="0"/>
                <w:color w:val="auto"/>
                <w:szCs w:val="24"/>
                <w:highlight w:val="none"/>
                <w:u w:val="none"/>
              </w:rPr>
            </w:pPr>
            <w:r>
              <w:rPr>
                <w:rFonts w:hint="eastAsia" w:ascii="Times New Roman" w:hAnsi="Times New Roman" w:eastAsia="宋体" w:cs="Times New Roman"/>
                <w:color w:val="auto"/>
                <w:szCs w:val="24"/>
                <w:highlight w:val="none"/>
                <w:u w:val="none"/>
              </w:rPr>
              <w:t>1</w:t>
            </w:r>
            <w:r>
              <w:rPr>
                <w:rFonts w:ascii="Times New Roman" w:hAnsi="Times New Roman" w:eastAsia="宋体" w:cs="Times New Roman"/>
                <w:color w:val="auto"/>
                <w:szCs w:val="24"/>
                <w:highlight w:val="none"/>
                <w:u w:val="none"/>
              </w:rPr>
              <w:t>.10</w:t>
            </w:r>
            <w:r>
              <w:rPr>
                <w:rFonts w:hint="eastAsia" w:ascii="Times New Roman" w:hAnsi="Times New Roman" w:eastAsia="宋体" w:cs="Times New Roman"/>
                <w:color w:val="auto"/>
                <w:szCs w:val="24"/>
                <w:highlight w:val="none"/>
                <w:u w:val="none"/>
              </w:rPr>
              <w:t>对所编制的招标文件进行审查，包括审查招标文件是否存在“设置歧视性、排他性的资格条款、评审因素”等不符合政府采购法规的情形，检查</w:t>
            </w:r>
            <w:r>
              <w:rPr>
                <w:rFonts w:hint="eastAsia" w:ascii="Times New Roman" w:hAnsi="Times New Roman" w:eastAsia="宋体" w:cs="Times New Roman"/>
                <w:b w:val="0"/>
                <w:bCs w:val="0"/>
                <w:color w:val="auto"/>
                <w:szCs w:val="24"/>
                <w:highlight w:val="none"/>
                <w:u w:val="none"/>
              </w:rPr>
              <w:t>招标文件是否落实政府采购相关政策情况等；</w:t>
            </w:r>
          </w:p>
          <w:p w14:paraId="02B6C000">
            <w:pPr>
              <w:adjustRightInd w:val="0"/>
              <w:snapToGrid w:val="0"/>
              <w:spacing w:line="240" w:lineRule="auto"/>
              <w:ind w:firstLine="0" w:firstLineChars="0"/>
              <w:rPr>
                <w:rFonts w:hint="eastAsia" w:ascii="Times New Roman" w:hAnsi="Times New Roman" w:eastAsia="宋体" w:cs="Times New Roman"/>
                <w:b w:val="0"/>
                <w:bCs w:val="0"/>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rPr>
              <w:t>1.1</w:t>
            </w:r>
            <w:r>
              <w:rPr>
                <w:rFonts w:ascii="Times New Roman" w:hAnsi="Times New Roman" w:eastAsia="宋体" w:cs="Times New Roman"/>
                <w:b w:val="0"/>
                <w:bCs w:val="0"/>
                <w:color w:val="auto"/>
                <w:szCs w:val="24"/>
                <w:highlight w:val="none"/>
                <w:u w:val="none"/>
              </w:rPr>
              <w:t>1</w:t>
            </w:r>
            <w:r>
              <w:rPr>
                <w:rFonts w:hint="eastAsia" w:ascii="Times New Roman" w:hAnsi="Times New Roman" w:eastAsia="宋体" w:cs="Times New Roman"/>
                <w:b w:val="0"/>
                <w:bCs w:val="0"/>
                <w:color w:val="auto"/>
                <w:szCs w:val="24"/>
                <w:highlight w:val="none"/>
                <w:u w:val="none"/>
                <w:lang w:val="en-US" w:eastAsia="zh-CN"/>
              </w:rPr>
              <w:t>对我院院内评标项目，代理机构需提供现场协助，负责收集审核投标人相关资料；</w:t>
            </w:r>
          </w:p>
          <w:p w14:paraId="7646E0ED">
            <w:pPr>
              <w:adjustRightInd w:val="0"/>
              <w:snapToGrid w:val="0"/>
              <w:spacing w:line="240" w:lineRule="auto"/>
              <w:ind w:firstLine="0" w:firstLineChars="0"/>
              <w:rPr>
                <w:rFonts w:hint="default" w:ascii="Times New Roman" w:hAnsi="Times New Roman" w:eastAsia="宋体" w:cs="Times New Roman"/>
                <w:b w:val="0"/>
                <w:bCs w:val="0"/>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lang w:val="en-US" w:eastAsia="zh-CN"/>
              </w:rPr>
              <w:t>1.12对我院采用询价采购方式的项目，代理机构可协助提供市场成交价格查询服务；</w:t>
            </w:r>
          </w:p>
          <w:p w14:paraId="4CB19873">
            <w:pPr>
              <w:adjustRightInd w:val="0"/>
              <w:snapToGrid w:val="0"/>
              <w:spacing w:line="240" w:lineRule="auto"/>
              <w:ind w:firstLine="0" w:firstLineChars="0"/>
              <w:rPr>
                <w:rFonts w:hint="eastAsia"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lang w:val="en-US" w:eastAsia="zh-CN"/>
              </w:rPr>
              <w:t>1.13</w:t>
            </w:r>
            <w:r>
              <w:rPr>
                <w:rFonts w:hint="eastAsia" w:ascii="Times New Roman" w:hAnsi="Times New Roman" w:eastAsia="宋体" w:cs="Times New Roman"/>
                <w:color w:val="auto"/>
                <w:szCs w:val="24"/>
                <w:highlight w:val="none"/>
                <w:u w:val="none"/>
              </w:rPr>
              <w:t>法律法规规定的其他事项。</w:t>
            </w:r>
          </w:p>
          <w:p w14:paraId="35083D65">
            <w:pPr>
              <w:adjustRightInd w:val="0"/>
              <w:snapToGrid w:val="0"/>
              <w:spacing w:line="240" w:lineRule="auto"/>
              <w:ind w:firstLine="0" w:firstLineChars="0"/>
              <w:rPr>
                <w:rFonts w:hint="default"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color w:val="auto"/>
                <w:szCs w:val="24"/>
                <w:highlight w:val="none"/>
                <w:u w:val="none"/>
                <w:lang w:val="en-US" w:eastAsia="zh-CN"/>
              </w:rPr>
              <w:t>1.14对报名参加项目的潜在供应商的股权关系、主要股东、授权代表社保情况进行审核，防止项目出现围标串标情况。</w:t>
            </w:r>
          </w:p>
        </w:tc>
      </w:tr>
      <w:tr w14:paraId="19CB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260" w:type="dxa"/>
            <w:vAlign w:val="center"/>
          </w:tcPr>
          <w:p w14:paraId="17053241">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2</w:t>
            </w:r>
          </w:p>
        </w:tc>
        <w:tc>
          <w:tcPr>
            <w:tcW w:w="1620" w:type="dxa"/>
            <w:vAlign w:val="center"/>
          </w:tcPr>
          <w:p w14:paraId="71168B74">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工作效率</w:t>
            </w:r>
          </w:p>
        </w:tc>
        <w:tc>
          <w:tcPr>
            <w:tcW w:w="6891" w:type="dxa"/>
            <w:vAlign w:val="center"/>
          </w:tcPr>
          <w:p w14:paraId="336B8271">
            <w:pPr>
              <w:shd w:val="clear"/>
              <w:adjustRightInd w:val="0"/>
              <w:snapToGrid w:val="0"/>
              <w:spacing w:line="240" w:lineRule="auto"/>
              <w:ind w:firstLine="0" w:firstLineChars="0"/>
              <w:rPr>
                <w:rFonts w:hint="eastAsia"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2.1采购项目承接效率：代理机构在接收我院交付的项目资料后，应当根据采购项目的特点和采购需求，在2天内完成采购文件初稿的编制，并报我院书面确认。特殊情况下要按我院要求时间完成。</w:t>
            </w:r>
          </w:p>
          <w:p w14:paraId="3A6DF612">
            <w:pPr>
              <w:shd w:val="clear"/>
              <w:adjustRightInd w:val="0"/>
              <w:snapToGrid w:val="0"/>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2.2招标文件定稿效率：代理机构需配合我院提高招标文件定稿的效率，在与我院沟通招标文件的过程中，应在</w:t>
            </w:r>
            <w:r>
              <w:rPr>
                <w:rFonts w:hint="eastAsia" w:cs="Times New Roman"/>
                <w:bCs/>
                <w:color w:val="auto"/>
                <w:szCs w:val="21"/>
                <w:highlight w:val="none"/>
                <w:u w:val="none"/>
                <w:lang w:eastAsia="zh-CN"/>
              </w:rPr>
              <w:t>采购人</w:t>
            </w:r>
            <w:r>
              <w:rPr>
                <w:rFonts w:hint="eastAsia" w:ascii="Times New Roman" w:hAnsi="Times New Roman" w:eastAsia="宋体" w:cs="Times New Roman"/>
                <w:bCs/>
                <w:color w:val="auto"/>
                <w:szCs w:val="21"/>
                <w:highlight w:val="none"/>
                <w:u w:val="none"/>
              </w:rPr>
              <w:t>提出需求后2天内将招标文件修改内容反馈至我院。特殊情况下要按我院要求时间完成。</w:t>
            </w:r>
          </w:p>
        </w:tc>
      </w:tr>
      <w:tr w14:paraId="7FDC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771" w:type="dxa"/>
            <w:gridSpan w:val="3"/>
          </w:tcPr>
          <w:p w14:paraId="12346766">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（二）代理机构工作质量要求</w:t>
            </w:r>
          </w:p>
        </w:tc>
      </w:tr>
      <w:tr w14:paraId="65B7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6D7CBBF1">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1</w:t>
            </w:r>
          </w:p>
        </w:tc>
        <w:tc>
          <w:tcPr>
            <w:tcW w:w="1620" w:type="dxa"/>
            <w:vAlign w:val="center"/>
          </w:tcPr>
          <w:p w14:paraId="5F990A1D">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评标出错率</w:t>
            </w:r>
          </w:p>
        </w:tc>
        <w:tc>
          <w:tcPr>
            <w:tcW w:w="6891" w:type="dxa"/>
          </w:tcPr>
          <w:p w14:paraId="1A657246">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代理机构需控制评标现场出错情形，包括：</w:t>
            </w:r>
          </w:p>
          <w:p w14:paraId="18795398">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1.技术规格偏离表和商务条款偏离表的响应的真实性：投标文件偏离表是否与招标文件要求的偏离表条款一致、投标人是否如实响应；</w:t>
            </w:r>
          </w:p>
          <w:p w14:paraId="262EEFC7">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2.投标文件所投产品品牌型号规格的正确性：包括品牌型号与招标文件的一致性、与投标文件中产品注册证等材料的一致性。</w:t>
            </w:r>
          </w:p>
          <w:p w14:paraId="725742AD">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3.资格标项目投标报价的正确性：资格标项目的价格分评分依据是否与招标文件一致、资格标的投标报价一览表是按照招标文件的要求填写。</w:t>
            </w:r>
          </w:p>
          <w:p w14:paraId="3D36B8B8">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4.其他在评标现场因人为疏忽导致的评标出错情形。</w:t>
            </w:r>
          </w:p>
          <w:p w14:paraId="030D33B1">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color w:val="auto"/>
                <w:szCs w:val="24"/>
                <w:highlight w:val="none"/>
                <w:u w:val="none"/>
              </w:rPr>
              <w:t>如我院后续审查过程发现评标现场因人为疏忽导致的评标出错问题，发现一次则要求代理机构进行整改，发现第二次将取消代理机构本年度我院采购项目的代理资格。</w:t>
            </w:r>
          </w:p>
        </w:tc>
      </w:tr>
      <w:tr w14:paraId="2B10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1A5346DD">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2</w:t>
            </w:r>
          </w:p>
        </w:tc>
        <w:tc>
          <w:tcPr>
            <w:tcW w:w="1620" w:type="dxa"/>
            <w:vAlign w:val="center"/>
          </w:tcPr>
          <w:p w14:paraId="72749793">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lang w:eastAsia="zh-CN"/>
              </w:rPr>
              <w:t>材料审核</w:t>
            </w:r>
          </w:p>
        </w:tc>
        <w:tc>
          <w:tcPr>
            <w:tcW w:w="6891" w:type="dxa"/>
          </w:tcPr>
          <w:p w14:paraId="7DD082D7">
            <w:pPr>
              <w:pStyle w:val="6"/>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代理机构</w:t>
            </w:r>
            <w:r>
              <w:rPr>
                <w:rFonts w:hint="eastAsia"/>
                <w:highlight w:val="none"/>
              </w:rPr>
              <w:t>应要求</w:t>
            </w:r>
            <w:r>
              <w:rPr>
                <w:rFonts w:hint="eastAsia"/>
                <w:highlight w:val="none"/>
                <w:lang w:eastAsia="zh-CN"/>
              </w:rPr>
              <w:t>投标</w:t>
            </w:r>
            <w:r>
              <w:rPr>
                <w:rFonts w:hint="eastAsia"/>
                <w:highlight w:val="none"/>
              </w:rPr>
              <w:t>供应商必须严格按规定提供材料，出具提交材料真实性的承诺函，提供报名人、投标授权人以及其他直接参与采购工作的相关人员的社保缴交信息。</w:t>
            </w:r>
            <w:r>
              <w:rPr>
                <w:rFonts w:hint="eastAsia"/>
                <w:highlight w:val="none"/>
                <w:lang w:eastAsia="zh-CN"/>
              </w:rPr>
              <w:t>代理机构</w:t>
            </w:r>
            <w:r>
              <w:rPr>
                <w:rFonts w:hint="eastAsia"/>
                <w:highlight w:val="none"/>
              </w:rPr>
              <w:t>应通过信息化等手段多渠道查验材料的真伪，防止不同供应商投标文件混装、投标文件内容非正常高度一致、投标授权代表人在同一单位缴纳社会保险等现象，</w:t>
            </w:r>
          </w:p>
        </w:tc>
      </w:tr>
      <w:tr w14:paraId="64A4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69A027FA">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3</w:t>
            </w:r>
          </w:p>
        </w:tc>
        <w:tc>
          <w:tcPr>
            <w:tcW w:w="1620" w:type="dxa"/>
            <w:vAlign w:val="center"/>
          </w:tcPr>
          <w:p w14:paraId="4A469523">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质疑处理效率</w:t>
            </w:r>
          </w:p>
        </w:tc>
        <w:tc>
          <w:tcPr>
            <w:tcW w:w="6891" w:type="dxa"/>
          </w:tcPr>
          <w:p w14:paraId="2B10089C">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代理机构需严格把关招标文件，减少对我院采购项目的质疑；代理机构针对潜在投标人对招标文件条款提出的疑问或质疑，需及时与我院沟通，协助我院处理质疑，并结合我院意见予以澄清。</w:t>
            </w:r>
          </w:p>
        </w:tc>
      </w:tr>
      <w:tr w14:paraId="3575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3F798CBE">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（三）代理机构提供人员要求</w:t>
            </w:r>
          </w:p>
        </w:tc>
      </w:tr>
      <w:tr w14:paraId="3F36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vAlign w:val="center"/>
          </w:tcPr>
          <w:p w14:paraId="052ED75B">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1</w:t>
            </w:r>
          </w:p>
        </w:tc>
        <w:tc>
          <w:tcPr>
            <w:tcW w:w="1620" w:type="dxa"/>
            <w:vAlign w:val="center"/>
          </w:tcPr>
          <w:p w14:paraId="63238C54">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基本要求</w:t>
            </w:r>
          </w:p>
        </w:tc>
        <w:tc>
          <w:tcPr>
            <w:tcW w:w="6891" w:type="dxa"/>
          </w:tcPr>
          <w:p w14:paraId="1BFAD6EE">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代理机构拥有不少于5名熟悉政府采购法律法规、具备编制采购文件和组织采购活动等相应能力的专职从业人员。</w:t>
            </w:r>
          </w:p>
        </w:tc>
      </w:tr>
      <w:tr w14:paraId="45CD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60" w:type="dxa"/>
            <w:vAlign w:val="center"/>
          </w:tcPr>
          <w:p w14:paraId="3D3B3203">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2</w:t>
            </w:r>
          </w:p>
        </w:tc>
        <w:tc>
          <w:tcPr>
            <w:tcW w:w="1620" w:type="dxa"/>
            <w:vAlign w:val="center"/>
          </w:tcPr>
          <w:p w14:paraId="0BA90F03">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人员配备</w:t>
            </w:r>
          </w:p>
        </w:tc>
        <w:tc>
          <w:tcPr>
            <w:tcW w:w="6891" w:type="dxa"/>
          </w:tcPr>
          <w:p w14:paraId="555E2BC3">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代理机构拟安排承接我院采购项目的团队成员必须全部为代理机构本单位人员，且必须常驻深圳为我院提供服务；团队成员需具备至少3年的政府采购项目经验和完成本项目的专业素养。</w:t>
            </w:r>
          </w:p>
        </w:tc>
      </w:tr>
      <w:tr w14:paraId="2392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260" w:type="dxa"/>
            <w:vAlign w:val="center"/>
          </w:tcPr>
          <w:p w14:paraId="274190A6">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3</w:t>
            </w:r>
          </w:p>
        </w:tc>
        <w:tc>
          <w:tcPr>
            <w:tcW w:w="1620" w:type="dxa"/>
            <w:vAlign w:val="center"/>
          </w:tcPr>
          <w:p w14:paraId="7EDFEEA9">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人员更换</w:t>
            </w:r>
          </w:p>
        </w:tc>
        <w:tc>
          <w:tcPr>
            <w:tcW w:w="6891" w:type="dxa"/>
          </w:tcPr>
          <w:p w14:paraId="53B7B9AB">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代理机</w:t>
            </w:r>
            <w:r>
              <w:rPr>
                <w:rFonts w:hint="eastAsia" w:ascii="Times New Roman" w:hAnsi="Times New Roman" w:eastAsia="宋体" w:cs="Times New Roman"/>
                <w:b w:val="0"/>
                <w:bCs/>
                <w:color w:val="auto"/>
                <w:szCs w:val="21"/>
                <w:highlight w:val="none"/>
                <w:u w:val="none"/>
              </w:rPr>
              <w:t>构</w:t>
            </w:r>
            <w:r>
              <w:rPr>
                <w:rFonts w:hint="eastAsia" w:ascii="Times New Roman" w:hAnsi="Times New Roman" w:eastAsia="宋体" w:cs="Times New Roman"/>
                <w:b w:val="0"/>
                <w:bCs/>
                <w:color w:val="auto"/>
                <w:szCs w:val="21"/>
                <w:highlight w:val="none"/>
                <w:u w:val="none"/>
                <w:lang w:val="en-US" w:eastAsia="zh-CN"/>
              </w:rPr>
              <w:t>原则上</w:t>
            </w:r>
            <w:r>
              <w:rPr>
                <w:rFonts w:hint="eastAsia" w:ascii="Times New Roman" w:hAnsi="Times New Roman" w:eastAsia="宋体" w:cs="Times New Roman"/>
                <w:b w:val="0"/>
                <w:bCs/>
                <w:color w:val="auto"/>
                <w:szCs w:val="21"/>
                <w:highlight w:val="none"/>
                <w:u w:val="none"/>
              </w:rPr>
              <w:t>不</w:t>
            </w:r>
            <w:r>
              <w:rPr>
                <w:rFonts w:hint="eastAsia" w:ascii="Times New Roman" w:hAnsi="Times New Roman" w:eastAsia="宋体" w:cs="Times New Roman"/>
                <w:bCs/>
                <w:color w:val="auto"/>
                <w:szCs w:val="21"/>
                <w:highlight w:val="none"/>
                <w:u w:val="none"/>
              </w:rPr>
              <w:t>得频繁更换承接我院采购项目负责人和团队成员，一个年度内更换的次数不得超过2次，且每次更换之前需发书面说明，向我院提出申请并交予我院备案。</w:t>
            </w:r>
          </w:p>
        </w:tc>
      </w:tr>
      <w:tr w14:paraId="05E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54AA1523">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（四）代理机构自身条件要求</w:t>
            </w:r>
          </w:p>
        </w:tc>
      </w:tr>
      <w:tr w14:paraId="6443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260" w:type="dxa"/>
            <w:vAlign w:val="center"/>
          </w:tcPr>
          <w:p w14:paraId="11D69D7A">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1</w:t>
            </w:r>
          </w:p>
        </w:tc>
        <w:tc>
          <w:tcPr>
            <w:tcW w:w="1620" w:type="dxa"/>
            <w:vAlign w:val="center"/>
          </w:tcPr>
          <w:p w14:paraId="0232AC81">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场地环境要求</w:t>
            </w:r>
          </w:p>
        </w:tc>
        <w:tc>
          <w:tcPr>
            <w:tcW w:w="6891" w:type="dxa"/>
          </w:tcPr>
          <w:p w14:paraId="7FC1C96E">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代理机构具有代理政府采购业务必需的评审场地、电脑设备、录音录像监控设备和网络设施等，具备开展电子化招投标的条件。</w:t>
            </w:r>
          </w:p>
        </w:tc>
      </w:tr>
      <w:tr w14:paraId="32F7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260" w:type="dxa"/>
            <w:vAlign w:val="center"/>
          </w:tcPr>
          <w:p w14:paraId="5DFEC13C">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2</w:t>
            </w:r>
          </w:p>
        </w:tc>
        <w:tc>
          <w:tcPr>
            <w:tcW w:w="1620" w:type="dxa"/>
            <w:vAlign w:val="center"/>
          </w:tcPr>
          <w:p w14:paraId="2CC5F4B9">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移动评标要求</w:t>
            </w:r>
          </w:p>
        </w:tc>
        <w:tc>
          <w:tcPr>
            <w:tcW w:w="6891" w:type="dxa"/>
          </w:tcPr>
          <w:p w14:paraId="0948885A">
            <w:pPr>
              <w:adjustRightInd w:val="0"/>
              <w:snapToGrid w:val="0"/>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如我院有无法到达代理机构指定地点参与项目评审的情况，代理机构能够提供移动开标的设备和人员等，满足移动开标所需的条件，做好移动开标的工作安排。</w:t>
            </w:r>
          </w:p>
        </w:tc>
      </w:tr>
      <w:tr w14:paraId="147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60" w:type="dxa"/>
            <w:vAlign w:val="center"/>
          </w:tcPr>
          <w:p w14:paraId="0C74079D">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3</w:t>
            </w:r>
          </w:p>
        </w:tc>
        <w:tc>
          <w:tcPr>
            <w:tcW w:w="1620" w:type="dxa"/>
            <w:vAlign w:val="center"/>
          </w:tcPr>
          <w:p w14:paraId="172A3CCA">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国际招标要求</w:t>
            </w:r>
          </w:p>
        </w:tc>
        <w:tc>
          <w:tcPr>
            <w:tcW w:w="6891" w:type="dxa"/>
            <w:vAlign w:val="center"/>
          </w:tcPr>
          <w:p w14:paraId="3D47B946">
            <w:pPr>
              <w:adjustRightInd w:val="0"/>
              <w:snapToGrid w:val="0"/>
              <w:spacing w:line="240" w:lineRule="auto"/>
              <w:ind w:firstLine="0" w:firstLineChars="0"/>
              <w:rPr>
                <w:rFonts w:hint="eastAsia"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代理机构需具备代理国际标项目的资质和能力。</w:t>
            </w:r>
          </w:p>
        </w:tc>
      </w:tr>
      <w:tr w14:paraId="2B92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60" w:type="dxa"/>
            <w:vAlign w:val="center"/>
          </w:tcPr>
          <w:p w14:paraId="2907F722">
            <w:pPr>
              <w:spacing w:line="240" w:lineRule="auto"/>
              <w:ind w:firstLine="0" w:firstLineChars="0"/>
              <w:jc w:val="center"/>
              <w:rPr>
                <w:rFonts w:hint="eastAsia" w:ascii="Times New Roman" w:hAnsi="Times New Roman" w:eastAsia="宋体" w:cs="Times New Roman"/>
                <w:b/>
                <w:bCs w:val="0"/>
                <w:color w:val="auto"/>
                <w:szCs w:val="24"/>
                <w:highlight w:val="none"/>
                <w:u w:val="none"/>
                <w:lang w:val="en-US" w:eastAsia="zh-CN"/>
              </w:rPr>
            </w:pPr>
            <w:r>
              <w:rPr>
                <w:rFonts w:hint="eastAsia" w:ascii="Times New Roman" w:hAnsi="Times New Roman" w:eastAsia="宋体" w:cs="Times New Roman"/>
                <w:b/>
                <w:bCs w:val="0"/>
                <w:color w:val="auto"/>
                <w:szCs w:val="24"/>
                <w:highlight w:val="none"/>
                <w:u w:val="none"/>
                <w:lang w:val="en-US" w:eastAsia="zh-CN"/>
              </w:rPr>
              <w:t>4</w:t>
            </w:r>
          </w:p>
        </w:tc>
        <w:tc>
          <w:tcPr>
            <w:tcW w:w="1620" w:type="dxa"/>
            <w:vAlign w:val="center"/>
          </w:tcPr>
          <w:p w14:paraId="3AEAE1D1">
            <w:pPr>
              <w:spacing w:line="240" w:lineRule="auto"/>
              <w:ind w:firstLine="0" w:firstLineChars="0"/>
              <w:jc w:val="center"/>
              <w:rPr>
                <w:rFonts w:hint="default" w:ascii="Times New Roman" w:hAnsi="Times New Roman" w:eastAsia="宋体" w:cs="Times New Roman"/>
                <w:b/>
                <w:bCs w:val="0"/>
                <w:color w:val="auto"/>
                <w:szCs w:val="24"/>
                <w:highlight w:val="none"/>
                <w:u w:val="none"/>
                <w:lang w:val="en-US" w:eastAsia="zh-CN"/>
              </w:rPr>
            </w:pPr>
            <w:r>
              <w:rPr>
                <w:rFonts w:hint="eastAsia" w:ascii="Times New Roman" w:hAnsi="Times New Roman" w:eastAsia="宋体" w:cs="Times New Roman"/>
                <w:b/>
                <w:bCs w:val="0"/>
                <w:color w:val="auto"/>
                <w:szCs w:val="24"/>
                <w:highlight w:val="none"/>
                <w:u w:val="none"/>
                <w:lang w:val="en-US" w:eastAsia="zh-CN"/>
              </w:rPr>
              <w:t>配套服务要求</w:t>
            </w:r>
          </w:p>
        </w:tc>
        <w:tc>
          <w:tcPr>
            <w:tcW w:w="6891" w:type="dxa"/>
            <w:vAlign w:val="center"/>
          </w:tcPr>
          <w:p w14:paraId="24E40032">
            <w:pPr>
              <w:adjustRightInd w:val="0"/>
              <w:snapToGrid w:val="0"/>
              <w:spacing w:line="240" w:lineRule="auto"/>
              <w:ind w:firstLine="0" w:firstLineChars="0"/>
              <w:rPr>
                <w:rFonts w:hint="default" w:ascii="Times New Roman" w:hAnsi="Times New Roman" w:eastAsia="宋体" w:cs="Times New Roman"/>
                <w:b/>
                <w:bCs w:val="0"/>
                <w:color w:val="auto"/>
                <w:szCs w:val="21"/>
                <w:highlight w:val="none"/>
                <w:u w:val="none"/>
                <w:lang w:val="en-US" w:eastAsia="zh-CN"/>
              </w:rPr>
            </w:pPr>
            <w:r>
              <w:rPr>
                <w:rFonts w:hint="eastAsia" w:ascii="Times New Roman" w:hAnsi="Times New Roman" w:eastAsia="宋体" w:cs="Times New Roman"/>
                <w:b w:val="0"/>
                <w:bCs/>
                <w:color w:val="auto"/>
                <w:szCs w:val="21"/>
                <w:highlight w:val="none"/>
                <w:u w:val="none"/>
                <w:lang w:val="en-US" w:eastAsia="zh-CN"/>
              </w:rPr>
              <w:t>代理机构应能为我院院内评标专家评标当天提供指定地点的免费接送服务；</w:t>
            </w:r>
          </w:p>
        </w:tc>
      </w:tr>
      <w:tr w14:paraId="03E9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771" w:type="dxa"/>
            <w:gridSpan w:val="3"/>
          </w:tcPr>
          <w:p w14:paraId="0F703E39">
            <w:pPr>
              <w:spacing w:line="240" w:lineRule="auto"/>
              <w:ind w:firstLine="0" w:firstLineChars="0"/>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（五）其他要求</w:t>
            </w:r>
          </w:p>
        </w:tc>
      </w:tr>
      <w:tr w14:paraId="4092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60" w:type="dxa"/>
            <w:vAlign w:val="center"/>
          </w:tcPr>
          <w:p w14:paraId="38153AA7">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1</w:t>
            </w:r>
          </w:p>
        </w:tc>
        <w:tc>
          <w:tcPr>
            <w:tcW w:w="1620" w:type="dxa"/>
            <w:vAlign w:val="center"/>
          </w:tcPr>
          <w:p w14:paraId="09F1CAC1">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关于保密</w:t>
            </w:r>
          </w:p>
        </w:tc>
        <w:tc>
          <w:tcPr>
            <w:tcW w:w="6891" w:type="dxa"/>
          </w:tcPr>
          <w:p w14:paraId="45D8BBDF">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1.1在招标采购的全过程中，双方人员都应自觉遵守保密约定，以维护招标采购工作的公正、公平，保证招标采购工作的正常进行和完成；</w:t>
            </w:r>
          </w:p>
          <w:p w14:paraId="2DEC3FB0">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1.2招标采购期间，各方不得向无关人员，尤其是向供应商透露招标采购工作的内部秘密；</w:t>
            </w:r>
          </w:p>
          <w:p w14:paraId="2C8C35C5">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1.3双方人员应对评审过程和未公告的评审结果保密；</w:t>
            </w:r>
          </w:p>
          <w:p w14:paraId="5D8360DE">
            <w:pPr>
              <w:spacing w:line="240" w:lineRule="auto"/>
              <w:ind w:firstLine="0" w:firstLineChars="0"/>
              <w:rPr>
                <w:rFonts w:ascii="Times New Roman" w:hAnsi="Times New Roman" w:eastAsia="宋体" w:cs="Times New Roman"/>
                <w:bCs/>
                <w:color w:val="auto"/>
                <w:szCs w:val="21"/>
                <w:highlight w:val="none"/>
                <w:u w:val="none"/>
              </w:rPr>
            </w:pPr>
            <w:r>
              <w:rPr>
                <w:rFonts w:hint="eastAsia" w:ascii="Times New Roman" w:hAnsi="Times New Roman" w:eastAsia="宋体" w:cs="Times New Roman"/>
                <w:bCs/>
                <w:color w:val="auto"/>
                <w:szCs w:val="21"/>
                <w:highlight w:val="none"/>
                <w:u w:val="none"/>
              </w:rPr>
              <w:t>1.4任何一方不应私自与投标人就本投标内容进行单方接触或谈判。因工作需要或业务目的的任何对外活动均应事前、事后互相知会和沟通。</w:t>
            </w:r>
          </w:p>
        </w:tc>
      </w:tr>
      <w:tr w14:paraId="1B4C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38998CE0">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2</w:t>
            </w:r>
          </w:p>
        </w:tc>
        <w:tc>
          <w:tcPr>
            <w:tcW w:w="1620" w:type="dxa"/>
            <w:vAlign w:val="center"/>
          </w:tcPr>
          <w:p w14:paraId="38D4A5FE">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关于收费</w:t>
            </w:r>
          </w:p>
        </w:tc>
        <w:tc>
          <w:tcPr>
            <w:tcW w:w="6891" w:type="dxa"/>
          </w:tcPr>
          <w:p w14:paraId="21B49723">
            <w:pPr>
              <w:spacing w:line="240" w:lineRule="auto"/>
              <w:ind w:firstLine="0" w:firstLineChars="0"/>
              <w:rPr>
                <w:rFonts w:hint="eastAsia"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lang w:val="en-US" w:eastAsia="zh-CN"/>
              </w:rPr>
              <w:t>2.1</w:t>
            </w:r>
            <w:r>
              <w:rPr>
                <w:rFonts w:hint="eastAsia" w:ascii="Times New Roman" w:hAnsi="Times New Roman" w:eastAsia="宋体" w:cs="Times New Roman"/>
                <w:color w:val="auto"/>
                <w:szCs w:val="24"/>
                <w:highlight w:val="none"/>
                <w:u w:val="none"/>
              </w:rPr>
              <w:t>代理服务费用由项目中标、成交供应商向代理机构支付。代理机构应当在采购文件中明示代理费用收取方式及标准，随中标、成交结果一并公开项目的收费情况，包括具体收费标准及收费金额等。</w:t>
            </w:r>
          </w:p>
          <w:p w14:paraId="5C506446">
            <w:pPr>
              <w:spacing w:line="240" w:lineRule="auto"/>
              <w:ind w:firstLine="0" w:firstLineChars="0"/>
              <w:rPr>
                <w:rFonts w:hint="default"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lang w:val="en-US" w:eastAsia="zh-CN"/>
              </w:rPr>
              <w:t>2.2评审专家劳务报酬根据深圳市财政局最新要求执行；</w:t>
            </w:r>
          </w:p>
        </w:tc>
      </w:tr>
      <w:tr w14:paraId="375B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0DDF3E8D">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3</w:t>
            </w:r>
          </w:p>
        </w:tc>
        <w:tc>
          <w:tcPr>
            <w:tcW w:w="1620" w:type="dxa"/>
            <w:vAlign w:val="center"/>
          </w:tcPr>
          <w:p w14:paraId="2F22BBA2">
            <w:pPr>
              <w:spacing w:line="240" w:lineRule="auto"/>
              <w:ind w:firstLine="0" w:firstLineChars="0"/>
              <w:jc w:val="center"/>
              <w:rPr>
                <w:rFonts w:ascii="Times New Roman" w:hAnsi="Times New Roman" w:eastAsia="宋体" w:cs="Times New Roman"/>
                <w:b/>
                <w:color w:val="auto"/>
                <w:szCs w:val="24"/>
                <w:highlight w:val="none"/>
                <w:u w:val="none"/>
              </w:rPr>
            </w:pPr>
            <w:r>
              <w:rPr>
                <w:rFonts w:hint="eastAsia" w:ascii="Times New Roman" w:hAnsi="Times New Roman" w:eastAsia="宋体" w:cs="Times New Roman"/>
                <w:b/>
                <w:color w:val="auto"/>
                <w:szCs w:val="24"/>
                <w:highlight w:val="none"/>
                <w:u w:val="none"/>
              </w:rPr>
              <w:t>合同</w:t>
            </w:r>
            <w:r>
              <w:rPr>
                <w:rFonts w:ascii="Times New Roman" w:hAnsi="Times New Roman" w:eastAsia="宋体" w:cs="Times New Roman"/>
                <w:b/>
                <w:color w:val="auto"/>
                <w:szCs w:val="24"/>
                <w:highlight w:val="none"/>
                <w:u w:val="none"/>
              </w:rPr>
              <w:t>期限</w:t>
            </w:r>
          </w:p>
        </w:tc>
        <w:tc>
          <w:tcPr>
            <w:tcW w:w="6891" w:type="dxa"/>
          </w:tcPr>
          <w:p w14:paraId="2A028304">
            <w:pPr>
              <w:spacing w:line="240" w:lineRule="auto"/>
              <w:ind w:firstLine="0" w:firstLineChars="0"/>
              <w:rPr>
                <w:rFonts w:ascii="Times New Roman" w:hAnsi="Times New Roman" w:eastAsia="宋体" w:cs="Times New Roman"/>
                <w:color w:val="auto"/>
                <w:szCs w:val="24"/>
                <w:highlight w:val="none"/>
                <w:u w:val="none"/>
              </w:rPr>
            </w:pPr>
            <w:r>
              <w:rPr>
                <w:rFonts w:hint="eastAsia" w:ascii="Times New Roman" w:hAnsi="Times New Roman" w:eastAsia="宋体" w:cs="Times New Roman"/>
                <w:color w:val="auto"/>
                <w:szCs w:val="24"/>
                <w:highlight w:val="none"/>
                <w:u w:val="none"/>
              </w:rPr>
              <w:t>一年（合同根据履约评价情况决定是否续签，但最长合同时间不超过三年），如上级部门对采购招标代理机构有新的通知要求，将按上级部门文件执行。</w:t>
            </w:r>
          </w:p>
        </w:tc>
      </w:tr>
      <w:tr w14:paraId="5B87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342F2702">
            <w:pPr>
              <w:spacing w:line="240" w:lineRule="auto"/>
              <w:ind w:firstLine="0" w:firstLineChars="0"/>
              <w:jc w:val="center"/>
              <w:rPr>
                <w:rFonts w:hint="eastAsia" w:ascii="Times New Roman" w:hAnsi="Times New Roman" w:eastAsia="宋体" w:cs="Times New Roman"/>
                <w:b/>
                <w:color w:val="auto"/>
                <w:szCs w:val="24"/>
                <w:highlight w:val="none"/>
                <w:u w:val="none"/>
                <w:lang w:val="en-US" w:eastAsia="zh-CN"/>
              </w:rPr>
            </w:pPr>
            <w:r>
              <w:rPr>
                <w:rFonts w:hint="eastAsia" w:ascii="Times New Roman" w:hAnsi="Times New Roman" w:eastAsia="宋体" w:cs="Times New Roman"/>
                <w:b/>
                <w:color w:val="auto"/>
                <w:szCs w:val="24"/>
                <w:highlight w:val="none"/>
                <w:u w:val="none"/>
                <w:lang w:val="en-US" w:eastAsia="zh-CN"/>
              </w:rPr>
              <w:t>4</w:t>
            </w:r>
          </w:p>
        </w:tc>
        <w:tc>
          <w:tcPr>
            <w:tcW w:w="1620" w:type="dxa"/>
            <w:vAlign w:val="center"/>
          </w:tcPr>
          <w:p w14:paraId="4CC408A3">
            <w:pPr>
              <w:spacing w:line="240" w:lineRule="auto"/>
              <w:ind w:firstLine="0" w:firstLineChars="0"/>
              <w:jc w:val="center"/>
              <w:rPr>
                <w:rFonts w:hint="default" w:ascii="Times New Roman" w:hAnsi="Times New Roman" w:eastAsia="宋体" w:cs="Times New Roman"/>
                <w:b/>
                <w:color w:val="auto"/>
                <w:szCs w:val="24"/>
                <w:highlight w:val="none"/>
                <w:u w:val="none"/>
                <w:lang w:val="en-US" w:eastAsia="zh-CN"/>
              </w:rPr>
            </w:pPr>
            <w:r>
              <w:rPr>
                <w:rFonts w:hint="eastAsia" w:ascii="Times New Roman" w:hAnsi="Times New Roman" w:eastAsia="宋体" w:cs="Times New Roman"/>
                <w:b/>
                <w:color w:val="auto"/>
                <w:szCs w:val="24"/>
                <w:highlight w:val="none"/>
                <w:u w:val="none"/>
                <w:lang w:val="en-US" w:eastAsia="zh-CN"/>
              </w:rPr>
              <w:t>服务与培训</w:t>
            </w:r>
          </w:p>
        </w:tc>
        <w:tc>
          <w:tcPr>
            <w:tcW w:w="6891" w:type="dxa"/>
          </w:tcPr>
          <w:p w14:paraId="082E6059">
            <w:pPr>
              <w:spacing w:line="240" w:lineRule="auto"/>
              <w:ind w:firstLine="0" w:firstLineChars="0"/>
              <w:rPr>
                <w:rFonts w:hint="eastAsia" w:ascii="Times New Roman" w:hAnsi="Times New Roman" w:eastAsia="宋体" w:cs="Times New Roman"/>
                <w:b w:val="0"/>
                <w:bCs w:val="0"/>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lang w:val="en-US" w:eastAsia="zh-CN"/>
              </w:rPr>
              <w:t>4.1代理机构应每年至少一次对我院各科室负责人、评标候选人员及相关采购工作人员进行政府采购法律法规及操作实务培训；</w:t>
            </w:r>
          </w:p>
          <w:p w14:paraId="0E439CB5">
            <w:pPr>
              <w:spacing w:line="240" w:lineRule="auto"/>
              <w:ind w:firstLine="0" w:firstLineChars="0"/>
              <w:rPr>
                <w:rFonts w:hint="default" w:ascii="Times New Roman" w:hAnsi="Times New Roman" w:eastAsia="宋体" w:cs="Times New Roman"/>
                <w:b w:val="0"/>
                <w:bCs w:val="0"/>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lang w:val="en-US" w:eastAsia="zh-CN"/>
              </w:rPr>
              <w:t>4.2代理机构在收到最新政府采购、招标投标等相关法律法规及政策文件时，应及时同步至我院，并根据我院要求对招标文件模板进行相应更新；</w:t>
            </w:r>
          </w:p>
          <w:p w14:paraId="3780ABA7">
            <w:pPr>
              <w:spacing w:line="240" w:lineRule="auto"/>
              <w:ind w:firstLine="0" w:firstLineChars="0"/>
              <w:rPr>
                <w:rFonts w:hint="default" w:ascii="Times New Roman" w:hAnsi="Times New Roman" w:eastAsia="宋体" w:cs="Times New Roman"/>
                <w:color w:val="auto"/>
                <w:szCs w:val="24"/>
                <w:highlight w:val="none"/>
                <w:u w:val="none"/>
                <w:lang w:val="en-US" w:eastAsia="zh-CN"/>
              </w:rPr>
            </w:pPr>
            <w:r>
              <w:rPr>
                <w:rFonts w:hint="eastAsia" w:ascii="Times New Roman" w:hAnsi="Times New Roman" w:eastAsia="宋体" w:cs="Times New Roman"/>
                <w:b w:val="0"/>
                <w:bCs w:val="0"/>
                <w:color w:val="auto"/>
                <w:szCs w:val="24"/>
                <w:highlight w:val="none"/>
                <w:u w:val="none"/>
                <w:lang w:val="en-US" w:eastAsia="zh-CN"/>
              </w:rPr>
              <w:t>4.3代理机构应于每个服务年度结束后30日内，向我院提交招标代理服务年度报告。</w:t>
            </w:r>
          </w:p>
        </w:tc>
      </w:tr>
      <w:tr w14:paraId="55EC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260" w:type="dxa"/>
            <w:vAlign w:val="center"/>
          </w:tcPr>
          <w:p w14:paraId="160036D1">
            <w:pPr>
              <w:spacing w:line="240" w:lineRule="auto"/>
              <w:ind w:firstLine="0" w:firstLineChars="0"/>
              <w:jc w:val="center"/>
              <w:rPr>
                <w:rFonts w:hint="default" w:ascii="Times New Roman" w:hAnsi="Times New Roman" w:eastAsia="宋体" w:cs="Times New Roman"/>
                <w:b/>
                <w:color w:val="auto"/>
                <w:szCs w:val="24"/>
                <w:highlight w:val="none"/>
                <w:u w:val="none"/>
                <w:lang w:val="en-US" w:eastAsia="zh-CN"/>
              </w:rPr>
            </w:pPr>
            <w:r>
              <w:rPr>
                <w:rFonts w:hint="eastAsia" w:cs="Times New Roman"/>
                <w:b/>
                <w:color w:val="auto"/>
                <w:szCs w:val="24"/>
                <w:highlight w:val="none"/>
                <w:u w:val="none"/>
                <w:lang w:val="en-US" w:eastAsia="zh-CN"/>
              </w:rPr>
              <w:t>5</w:t>
            </w:r>
          </w:p>
        </w:tc>
        <w:tc>
          <w:tcPr>
            <w:tcW w:w="1620" w:type="dxa"/>
            <w:vAlign w:val="center"/>
          </w:tcPr>
          <w:p w14:paraId="3BA04391">
            <w:pPr>
              <w:spacing w:line="240" w:lineRule="auto"/>
              <w:ind w:firstLine="0" w:firstLineChars="0"/>
              <w:jc w:val="center"/>
              <w:rPr>
                <w:rFonts w:hint="eastAsia" w:ascii="Times New Roman" w:hAnsi="Times New Roman" w:eastAsia="宋体" w:cs="Times New Roman"/>
                <w:b/>
                <w:color w:val="auto"/>
                <w:szCs w:val="24"/>
                <w:highlight w:val="none"/>
                <w:u w:val="none"/>
                <w:lang w:val="en-US" w:eastAsia="zh-CN"/>
              </w:rPr>
            </w:pPr>
            <w:r>
              <w:rPr>
                <w:rFonts w:hint="eastAsia" w:cs="Times New Roman"/>
                <w:b/>
                <w:color w:val="auto"/>
                <w:szCs w:val="24"/>
                <w:highlight w:val="none"/>
                <w:u w:val="none"/>
                <w:lang w:val="en-US" w:eastAsia="zh-CN"/>
              </w:rPr>
              <w:t>档案管理</w:t>
            </w:r>
          </w:p>
        </w:tc>
        <w:tc>
          <w:tcPr>
            <w:tcW w:w="6891" w:type="dxa"/>
          </w:tcPr>
          <w:p w14:paraId="7F20BAA6">
            <w:pPr>
              <w:numPr>
                <w:ilvl w:val="0"/>
                <w:numId w:val="2"/>
              </w:numPr>
              <w:spacing w:line="240" w:lineRule="auto"/>
              <w:ind w:firstLine="0" w:firstLineChars="0"/>
              <w:rPr>
                <w:highlight w:val="none"/>
              </w:rPr>
            </w:pPr>
            <w:r>
              <w:rPr>
                <w:rFonts w:hint="eastAsia" w:cs="Times New Roman"/>
                <w:color w:val="auto"/>
                <w:szCs w:val="24"/>
                <w:highlight w:val="none"/>
                <w:u w:val="none"/>
                <w:lang w:val="en-US" w:eastAsia="zh-CN"/>
              </w:rPr>
              <w:t>代理机构应妥善保存相关采购档案，无论是否属于年度招标代理合作期内，均无条件供采购人或上级单位调阅。</w:t>
            </w:r>
          </w:p>
          <w:p w14:paraId="21287B3B">
            <w:pPr>
              <w:numPr>
                <w:ilvl w:val="0"/>
                <w:numId w:val="2"/>
              </w:numPr>
              <w:spacing w:line="240" w:lineRule="auto"/>
              <w:ind w:firstLine="0" w:firstLineChars="0"/>
              <w:rPr>
                <w:rFonts w:hint="default"/>
                <w:highlight w:val="none"/>
                <w:lang w:val="en-US" w:eastAsia="zh-CN"/>
              </w:rPr>
            </w:pPr>
            <w:r>
              <w:rPr>
                <w:rFonts w:hint="eastAsia"/>
                <w:highlight w:val="none"/>
                <w:lang w:val="en-US" w:eastAsia="zh-CN"/>
              </w:rPr>
              <w:t>在项目完成招标流程后，在3个工作日内将相应项目资料扫描并提交至采购人。</w:t>
            </w:r>
          </w:p>
        </w:tc>
      </w:tr>
    </w:tbl>
    <w:p w14:paraId="74F26E2C">
      <w:pPr>
        <w:tabs>
          <w:tab w:val="left" w:pos="900"/>
        </w:tabs>
        <w:spacing w:line="288" w:lineRule="auto"/>
        <w:outlineLvl w:val="9"/>
        <w:rPr>
          <w:rFonts w:ascii="宋体" w:hAnsi="宋体" w:cs="宋体"/>
          <w:b/>
          <w:bCs/>
          <w:color w:val="000000"/>
          <w:szCs w:val="21"/>
          <w:highlight w:val="none"/>
        </w:rPr>
      </w:pPr>
    </w:p>
    <w:p w14:paraId="7B6EC13E">
      <w:pPr>
        <w:tabs>
          <w:tab w:val="left" w:pos="900"/>
        </w:tabs>
        <w:spacing w:line="288" w:lineRule="auto"/>
        <w:outlineLvl w:val="9"/>
        <w:rPr>
          <w:rFonts w:ascii="宋体" w:hAnsi="宋体" w:cs="宋体"/>
          <w:b/>
          <w:bCs/>
          <w:color w:val="000000"/>
          <w:szCs w:val="21"/>
          <w:highlight w:val="none"/>
        </w:rPr>
      </w:pPr>
    </w:p>
    <w:p w14:paraId="48F69EE8">
      <w:pPr>
        <w:tabs>
          <w:tab w:val="left" w:pos="900"/>
        </w:tabs>
        <w:spacing w:line="288" w:lineRule="auto"/>
        <w:outlineLvl w:val="2"/>
        <w:rPr>
          <w:rFonts w:ascii="宋体" w:hAnsi="宋体" w:cs="宋体"/>
          <w:bCs/>
          <w:szCs w:val="21"/>
          <w:highlight w:val="none"/>
          <w:lang w:val="zh-CN"/>
        </w:rPr>
      </w:pPr>
      <w:r>
        <w:rPr>
          <w:rFonts w:hint="eastAsia" w:ascii="宋体" w:hAnsi="宋体" w:cs="宋体"/>
          <w:b/>
          <w:bCs/>
          <w:color w:val="000000"/>
          <w:szCs w:val="21"/>
          <w:highlight w:val="none"/>
          <w:lang w:val="en-US" w:eastAsia="zh-CN"/>
        </w:rPr>
        <w:t>二</w:t>
      </w:r>
      <w:r>
        <w:rPr>
          <w:rFonts w:hint="eastAsia" w:ascii="宋体" w:hAnsi="宋体" w:cs="宋体"/>
          <w:b/>
          <w:bCs/>
          <w:color w:val="000000"/>
          <w:szCs w:val="21"/>
          <w:highlight w:val="none"/>
        </w:rPr>
        <w:t>、</w:t>
      </w:r>
      <w:r>
        <w:rPr>
          <w:rFonts w:hint="eastAsia" w:ascii="宋体" w:hAnsi="宋体" w:cs="宋体"/>
          <w:b/>
          <w:bCs/>
          <w:szCs w:val="21"/>
          <w:highlight w:val="none"/>
          <w:lang w:val="zh-CN"/>
        </w:rPr>
        <w:t>商务要求</w:t>
      </w:r>
    </w:p>
    <w:p w14:paraId="51E9C9CD">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★1、遴选</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eastAsia="zh-CN"/>
        </w:rPr>
        <w:t>家中标供应商。合同期限：项目服务期1年，</w:t>
      </w:r>
      <w:r>
        <w:rPr>
          <w:rFonts w:hint="eastAsia" w:ascii="宋体" w:hAnsi="宋体" w:cs="宋体"/>
          <w:sz w:val="24"/>
          <w:highlight w:val="none"/>
        </w:rPr>
        <w:t>本项目为长期服务项目，合同期满可以续签，但合同履行期限最长不得超过三十六个月。如</w:t>
      </w:r>
      <w:r>
        <w:rPr>
          <w:rFonts w:hint="eastAsia" w:ascii="宋体" w:hAnsi="宋体" w:cs="宋体"/>
          <w:sz w:val="24"/>
          <w:highlight w:val="none"/>
          <w:lang w:eastAsia="zh-CN"/>
        </w:rPr>
        <w:t>采购人</w:t>
      </w:r>
      <w:r>
        <w:rPr>
          <w:rFonts w:hint="eastAsia" w:ascii="宋体" w:hAnsi="宋体" w:cs="宋体"/>
          <w:sz w:val="24"/>
          <w:highlight w:val="none"/>
        </w:rPr>
        <w:t>对履约情况不满意，</w:t>
      </w:r>
      <w:r>
        <w:rPr>
          <w:rFonts w:hint="eastAsia" w:ascii="宋体" w:hAnsi="宋体" w:cs="宋体"/>
          <w:sz w:val="24"/>
          <w:highlight w:val="none"/>
          <w:lang w:eastAsia="zh-CN"/>
        </w:rPr>
        <w:t>采购人</w:t>
      </w:r>
      <w:r>
        <w:rPr>
          <w:rFonts w:hint="eastAsia" w:ascii="宋体" w:hAnsi="宋体" w:cs="宋体"/>
          <w:sz w:val="24"/>
          <w:highlight w:val="none"/>
        </w:rPr>
        <w:t>不再续约。</w:t>
      </w:r>
    </w:p>
    <w:p w14:paraId="62E7C6C4">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★2、</w:t>
      </w:r>
      <w:r>
        <w:rPr>
          <w:rFonts w:hint="eastAsia" w:ascii="宋体" w:hAnsi="宋体" w:cs="宋体"/>
          <w:b w:val="0"/>
          <w:bCs w:val="0"/>
          <w:color w:val="auto"/>
          <w:szCs w:val="21"/>
          <w:highlight w:val="none"/>
          <w:lang w:val="zh-CN" w:eastAsia="zh-CN"/>
        </w:rPr>
        <w:t>保密要求：</w:t>
      </w:r>
    </w:p>
    <w:p w14:paraId="23A4804C">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zh-CN" w:eastAsia="zh-CN"/>
        </w:rPr>
        <w:t>）在招标采购的全过程中，双方人员都应自觉遵守保密约定，以维护招标采购工作的公正、公平，保证招标采购工作的正常进行和完成；</w:t>
      </w:r>
    </w:p>
    <w:p w14:paraId="07C5E857">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val="zh-CN" w:eastAsia="zh-CN"/>
        </w:rPr>
        <w:t>）招标采购期间，各方不得向无关人员，尤其是向供应商透露招标采购工作的内部秘密；</w:t>
      </w:r>
    </w:p>
    <w:p w14:paraId="38D72D69">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val="zh-CN" w:eastAsia="zh-CN"/>
        </w:rPr>
        <w:t>）双方人员应对评审过程和未公告的评审结果保密；</w:t>
      </w:r>
    </w:p>
    <w:p w14:paraId="17418AD7">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val="zh-CN" w:eastAsia="zh-CN"/>
        </w:rPr>
        <w:t>）任何一方不应私自与投标人就本投标内容进行单方接触或谈判。因工作需要或业务目的的任何对外活动均应事前、事后互相知会和沟通。</w:t>
      </w:r>
    </w:p>
    <w:p w14:paraId="03F77520">
      <w:pPr>
        <w:tabs>
          <w:tab w:val="left" w:pos="900"/>
        </w:tabs>
        <w:spacing w:line="288" w:lineRule="auto"/>
        <w:ind w:firstLine="420" w:firstLineChars="200"/>
        <w:outlineLvl w:val="2"/>
        <w:rPr>
          <w:rFonts w:hint="eastAsia" w:ascii="宋体" w:hAnsi="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eastAsia="zh-CN"/>
        </w:rPr>
        <w:t>、</w:t>
      </w:r>
      <w:r>
        <w:rPr>
          <w:rFonts w:hint="eastAsia" w:ascii="宋体" w:hAnsi="宋体" w:cs="宋体"/>
          <w:b w:val="0"/>
          <w:bCs w:val="0"/>
          <w:color w:val="auto"/>
          <w:szCs w:val="21"/>
          <w:highlight w:val="none"/>
          <w:lang w:val="zh-CN" w:eastAsia="zh-CN"/>
        </w:rPr>
        <w:t>收费要求：</w:t>
      </w:r>
    </w:p>
    <w:p w14:paraId="78A3B2AF">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zh-CN" w:eastAsia="zh-CN"/>
        </w:rPr>
        <w:t>代理服务费用由项目中标、成交供应商向代理机构支付。代理机构应当在采购文件中明示代理费用收取方式及标准，随中标、成交结果一并公开项目的收费情况，包括具体收费标准及收费金额等。</w:t>
      </w:r>
    </w:p>
    <w:p w14:paraId="5D3C5ACC">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val="zh-CN" w:eastAsia="zh-CN"/>
        </w:rPr>
        <w:t>）项目预算</w:t>
      </w:r>
      <w:r>
        <w:rPr>
          <w:rFonts w:hint="eastAsia" w:ascii="宋体" w:hAnsi="宋体" w:cs="宋体"/>
          <w:b w:val="0"/>
          <w:bCs w:val="0"/>
          <w:color w:val="auto"/>
          <w:szCs w:val="21"/>
          <w:highlight w:val="none"/>
          <w:lang w:val="en-US" w:eastAsia="zh-CN"/>
        </w:rPr>
        <w:t>100万元以下的，</w:t>
      </w:r>
      <w:r>
        <w:rPr>
          <w:rFonts w:hint="eastAsia" w:ascii="宋体" w:hAnsi="宋体" w:eastAsia="宋体" w:cs="宋体"/>
          <w:b w:val="0"/>
          <w:bCs w:val="0"/>
          <w:color w:val="auto"/>
          <w:szCs w:val="21"/>
          <w:highlight w:val="none"/>
          <w:lang w:val="zh-CN" w:eastAsia="zh-CN"/>
        </w:rPr>
        <w:t>评审专家劳务报酬</w:t>
      </w:r>
      <w:r>
        <w:rPr>
          <w:rFonts w:hint="eastAsia" w:ascii="宋体" w:hAnsi="宋体" w:cs="宋体"/>
          <w:b w:val="0"/>
          <w:bCs w:val="0"/>
          <w:color w:val="auto"/>
          <w:szCs w:val="21"/>
          <w:highlight w:val="none"/>
          <w:lang w:val="zh-CN" w:eastAsia="zh-CN"/>
        </w:rPr>
        <w:t>由代理机构支付；项目预算</w:t>
      </w:r>
      <w:r>
        <w:rPr>
          <w:rFonts w:hint="eastAsia" w:ascii="宋体" w:hAnsi="宋体" w:cs="宋体"/>
          <w:b w:val="0"/>
          <w:bCs w:val="0"/>
          <w:color w:val="auto"/>
          <w:szCs w:val="21"/>
          <w:highlight w:val="none"/>
          <w:lang w:val="en-US" w:eastAsia="zh-CN"/>
        </w:rPr>
        <w:t>100万元（含）以上的，</w:t>
      </w:r>
      <w:r>
        <w:rPr>
          <w:rFonts w:hint="eastAsia" w:ascii="宋体" w:hAnsi="宋体" w:eastAsia="宋体" w:cs="宋体"/>
          <w:b w:val="0"/>
          <w:bCs w:val="0"/>
          <w:color w:val="auto"/>
          <w:szCs w:val="21"/>
          <w:highlight w:val="none"/>
          <w:lang w:val="zh-CN" w:eastAsia="zh-CN"/>
        </w:rPr>
        <w:t>评审专家劳务报酬根据深圳市财政局最新要求执行；</w:t>
      </w:r>
    </w:p>
    <w:p w14:paraId="71AC7B3A">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zh-CN" w:eastAsia="zh-CN"/>
        </w:rPr>
        <w:t>、服务与培训</w:t>
      </w:r>
      <w:r>
        <w:rPr>
          <w:rFonts w:hint="eastAsia" w:ascii="宋体" w:hAnsi="宋体" w:cs="宋体"/>
          <w:b w:val="0"/>
          <w:bCs w:val="0"/>
          <w:color w:val="auto"/>
          <w:szCs w:val="21"/>
          <w:highlight w:val="none"/>
          <w:lang w:val="zh-CN" w:eastAsia="zh-CN"/>
        </w:rPr>
        <w:t>：</w:t>
      </w:r>
    </w:p>
    <w:p w14:paraId="1CC171E2">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zh-CN" w:eastAsia="zh-CN"/>
        </w:rPr>
        <w:t>代理机构应每年至少一次对我院各科室负责人、评标候选人员及相关采购工作人员进行政府采购法律法规及操作实务培训；</w:t>
      </w:r>
    </w:p>
    <w:p w14:paraId="570304EA">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zh-CN" w:eastAsia="zh-CN"/>
        </w:rPr>
        <w:t>代理机构在收到最新政府采购、招标投标等相关法律法规及政策文件时，应及时同步至我院，并根据我院要求对招标文件模板进行相应更新；</w:t>
      </w:r>
    </w:p>
    <w:p w14:paraId="444C963A">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zh-CN" w:eastAsia="zh-CN"/>
        </w:rPr>
        <w:t>代理机构应于每个服务年度结束后30日内，向我院提交招标代理服务年度报告。</w:t>
      </w:r>
    </w:p>
    <w:p w14:paraId="43B9C5C9">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★5、投标报价要求</w:t>
      </w:r>
      <w:r>
        <w:rPr>
          <w:rFonts w:hint="eastAsia" w:ascii="宋体" w:hAnsi="宋体" w:cs="宋体"/>
          <w:b w:val="0"/>
          <w:bCs w:val="0"/>
          <w:color w:val="auto"/>
          <w:szCs w:val="21"/>
          <w:highlight w:val="none"/>
          <w:lang w:val="zh-CN" w:eastAsia="zh-CN"/>
        </w:rPr>
        <w:t>：</w:t>
      </w:r>
    </w:p>
    <w:p w14:paraId="527DF9B2">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投标总价必须是完成该项目的一切费用总和，包括货物费、运输费、装卸费、物料、设计、制作、配送、运输、保险费、售后服务费、快递费、国家规定的各项税费等全部费用。投标报价不得超出采购人限价或预算，超过对应限价或预算的，将作为</w:t>
      </w:r>
      <w:r>
        <w:rPr>
          <w:rFonts w:hint="eastAsia" w:ascii="宋体" w:hAnsi="宋体" w:eastAsia="宋体" w:cs="宋体"/>
          <w:b w:val="0"/>
          <w:bCs w:val="0"/>
          <w:color w:val="auto"/>
          <w:szCs w:val="21"/>
          <w:highlight w:val="none"/>
          <w:lang w:val="en-US" w:eastAsia="zh-CN"/>
        </w:rPr>
        <w:t>投标无效</w:t>
      </w:r>
      <w:r>
        <w:rPr>
          <w:rFonts w:hint="eastAsia" w:ascii="宋体" w:hAnsi="宋体" w:eastAsia="宋体" w:cs="宋体"/>
          <w:b w:val="0"/>
          <w:bCs w:val="0"/>
          <w:color w:val="auto"/>
          <w:szCs w:val="21"/>
          <w:highlight w:val="none"/>
          <w:lang w:val="zh-CN" w:eastAsia="zh-CN"/>
        </w:rPr>
        <w:t>处理。</w:t>
      </w:r>
    </w:p>
    <w:p w14:paraId="24EE137E">
      <w:pPr>
        <w:tabs>
          <w:tab w:val="left" w:pos="900"/>
        </w:tabs>
        <w:spacing w:line="288" w:lineRule="auto"/>
        <w:ind w:firstLine="420" w:firstLineChars="200"/>
        <w:outlineLvl w:val="2"/>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val="zh-CN" w:eastAsia="zh-CN"/>
        </w:rPr>
        <w:t>单个项目</w:t>
      </w:r>
      <w:r>
        <w:rPr>
          <w:rFonts w:hint="eastAsia" w:ascii="宋体" w:hAnsi="宋体" w:cs="宋体"/>
          <w:b w:val="0"/>
          <w:bCs w:val="0"/>
          <w:color w:val="auto"/>
          <w:szCs w:val="21"/>
          <w:highlight w:val="none"/>
          <w:lang w:val="zh-CN" w:eastAsia="zh-CN"/>
        </w:rPr>
        <w:t>最低收费</w:t>
      </w:r>
      <w:r>
        <w:rPr>
          <w:rFonts w:hint="eastAsia" w:ascii="宋体" w:hAnsi="宋体" w:eastAsia="宋体" w:cs="宋体"/>
          <w:b w:val="0"/>
          <w:bCs w:val="0"/>
          <w:color w:val="auto"/>
          <w:szCs w:val="21"/>
          <w:highlight w:val="none"/>
          <w:lang w:val="zh-CN" w:eastAsia="zh-CN"/>
        </w:rPr>
        <w:t>（元）：</w:t>
      </w:r>
      <w:r>
        <w:rPr>
          <w:rFonts w:hint="eastAsia" w:ascii="宋体" w:hAnsi="宋体" w:cs="宋体"/>
          <w:b w:val="0"/>
          <w:bCs w:val="0"/>
          <w:color w:val="auto"/>
          <w:szCs w:val="21"/>
          <w:highlight w:val="none"/>
          <w:lang w:val="zh-CN" w:eastAsia="zh-CN"/>
        </w:rPr>
        <w:t>最低收费</w:t>
      </w:r>
      <w:r>
        <w:rPr>
          <w:rFonts w:hint="eastAsia" w:ascii="宋体" w:hAnsi="宋体" w:eastAsia="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en-US" w:eastAsia="zh-CN"/>
        </w:rPr>
        <w:t>6000元/项目</w:t>
      </w:r>
    </w:p>
    <w:p w14:paraId="0917BEEB">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en-US" w:eastAsia="zh-CN"/>
        </w:rPr>
        <w:t>（2）服务费折扣率</w:t>
      </w:r>
      <w:r>
        <w:rPr>
          <w:rFonts w:hint="eastAsia" w:ascii="宋体" w:hAnsi="宋体" w:eastAsia="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en-US" w:eastAsia="zh-CN"/>
        </w:rPr>
        <w:t>100%≥服务费折扣率</w:t>
      </w:r>
      <w:r>
        <w:rPr>
          <w:rFonts w:hint="eastAsia" w:ascii="宋体" w:hAnsi="宋体" w:cs="宋体"/>
          <w:b w:val="0"/>
          <w:bCs w:val="0"/>
          <w:color w:val="auto"/>
          <w:szCs w:val="21"/>
          <w:highlight w:val="none"/>
          <w:lang w:val="en-US" w:eastAsia="zh-CN"/>
        </w:rPr>
        <w:t>＞</w:t>
      </w:r>
      <w:r>
        <w:rPr>
          <w:rFonts w:hint="eastAsia" w:ascii="宋体" w:hAnsi="宋体" w:eastAsia="宋体" w:cs="宋体"/>
          <w:b w:val="0"/>
          <w:bCs w:val="0"/>
          <w:color w:val="auto"/>
          <w:szCs w:val="21"/>
          <w:highlight w:val="none"/>
          <w:lang w:val="en-US" w:eastAsia="zh-CN"/>
        </w:rPr>
        <w:t>0%</w:t>
      </w:r>
    </w:p>
    <w:p w14:paraId="1CFFB8CD">
      <w:pPr>
        <w:tabs>
          <w:tab w:val="left" w:pos="900"/>
        </w:tabs>
        <w:spacing w:line="288" w:lineRule="auto"/>
        <w:ind w:firstLine="420" w:firstLineChars="200"/>
        <w:outlineLvl w:val="2"/>
        <w:rPr>
          <w:rFonts w:hint="eastAsia" w:ascii="宋体" w:hAnsi="宋体" w:eastAsia="宋体" w:cs="宋体"/>
          <w:b w:val="0"/>
          <w:bCs w:val="0"/>
          <w:color w:val="auto"/>
          <w:szCs w:val="21"/>
          <w:highlight w:val="none"/>
          <w:lang w:val="zh-CN" w:eastAsia="zh-CN"/>
        </w:rPr>
      </w:pPr>
      <w:r>
        <w:rPr>
          <w:rFonts w:hint="eastAsia" w:ascii="宋体" w:hAnsi="宋体" w:eastAsia="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zh-CN" w:eastAsia="zh-CN"/>
        </w:rPr>
        <w:t>）投标币种：人民币；</w:t>
      </w:r>
    </w:p>
    <w:p w14:paraId="7793199E">
      <w:pPr>
        <w:tabs>
          <w:tab w:val="left" w:pos="900"/>
        </w:tabs>
        <w:spacing w:line="288" w:lineRule="auto"/>
        <w:ind w:firstLine="420" w:firstLineChars="200"/>
        <w:outlineLvl w:val="2"/>
        <w:rPr>
          <w:rStyle w:val="21"/>
          <w:rFonts w:hint="eastAsia" w:ascii="宋体" w:hAnsi="宋体" w:cs="宋体"/>
          <w:b/>
          <w:bCs/>
          <w:szCs w:val="21"/>
          <w:highlight w:val="none"/>
          <w:lang w:val="zh-CN"/>
        </w:rPr>
      </w:pPr>
      <w:r>
        <w:rPr>
          <w:rFonts w:hint="eastAsia" w:ascii="宋体" w:hAnsi="宋体" w:cs="宋体"/>
          <w:b w:val="0"/>
          <w:bCs w:val="0"/>
          <w:color w:val="auto"/>
          <w:szCs w:val="21"/>
          <w:highlight w:val="none"/>
          <w:lang w:val="zh-CN"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val="zh-CN" w:eastAsia="zh-CN"/>
        </w:rPr>
        <w:t>）</w:t>
      </w:r>
      <w:r>
        <w:rPr>
          <w:rFonts w:hint="eastAsia" w:ascii="宋体" w:hAnsi="宋体" w:eastAsia="宋体" w:cs="宋体"/>
          <w:b w:val="0"/>
          <w:bCs w:val="0"/>
          <w:color w:val="auto"/>
          <w:szCs w:val="21"/>
          <w:highlight w:val="none"/>
          <w:lang w:val="zh-CN" w:eastAsia="zh-CN"/>
        </w:rPr>
        <w:t>投标报价超出预算，或者项目报价表中单个采购预算条目报价超过对应的预算的，投标将被否决。</w:t>
      </w:r>
    </w:p>
    <w:p w14:paraId="41155BF8">
      <w:pPr>
        <w:tabs>
          <w:tab w:val="right" w:pos="709"/>
        </w:tabs>
        <w:spacing w:line="360" w:lineRule="auto"/>
        <w:ind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注：</w:t>
      </w:r>
    </w:p>
    <w:p w14:paraId="63E8647B">
      <w:pPr>
        <w:numPr>
          <w:ilvl w:val="0"/>
          <w:numId w:val="3"/>
        </w:numPr>
        <w:tabs>
          <w:tab w:val="right" w:pos="142"/>
          <w:tab w:val="right" w:pos="709"/>
          <w:tab w:val="clear" w:pos="567"/>
        </w:tabs>
        <w:spacing w:line="360" w:lineRule="auto"/>
        <w:ind w:left="0" w:firstLine="422" w:firstLineChars="200"/>
        <w:rPr>
          <w:rStyle w:val="21"/>
          <w:rFonts w:ascii="宋体" w:hAnsi="宋体" w:cs="宋体"/>
          <w:b/>
          <w:bCs/>
          <w:szCs w:val="21"/>
          <w:highlight w:val="none"/>
          <w:lang w:val="zh-CN"/>
        </w:rPr>
      </w:pPr>
      <w:r>
        <w:rPr>
          <w:rStyle w:val="21"/>
          <w:rFonts w:hint="eastAsia" w:ascii="宋体" w:hAnsi="宋体" w:cs="宋体"/>
          <w:b/>
          <w:bCs/>
          <w:color w:val="FF0000"/>
          <w:szCs w:val="21"/>
          <w:highlight w:val="none"/>
          <w:lang w:val="zh-CN"/>
        </w:rPr>
        <w:t>本《用户需求书》所提有关要求（打“★”的条款必须满足，否则作投标无效处理）</w:t>
      </w:r>
      <w:r>
        <w:rPr>
          <w:rStyle w:val="21"/>
          <w:rFonts w:hint="eastAsia" w:ascii="宋体" w:hAnsi="宋体" w:cs="宋体"/>
          <w:b/>
          <w:bCs/>
          <w:szCs w:val="21"/>
          <w:highlight w:val="none"/>
          <w:lang w:val="zh-CN"/>
        </w:rPr>
        <w:t>，仅供参考，投标人在投标文件中可提出替代标准，但此替代标准应不低于招标文件技术要求。</w:t>
      </w:r>
    </w:p>
    <w:p w14:paraId="51009B02">
      <w:pPr>
        <w:numPr>
          <w:ilvl w:val="0"/>
          <w:numId w:val="3"/>
        </w:numPr>
        <w:tabs>
          <w:tab w:val="right" w:pos="142"/>
          <w:tab w:val="right" w:pos="709"/>
          <w:tab w:val="clear" w:pos="567"/>
        </w:tabs>
        <w:spacing w:line="360" w:lineRule="auto"/>
        <w:ind w:left="0"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评标委员会有权对以谋取中标为目的的技术规格模糊响应（如有意照搬照抄招标文件的技术要求）或虚假响应予以认定。供应商上述行为一经发现或查实，除扣分或投标无效外，采购代理机构可视情况报政府采购监督管理部门做进一步处理。</w:t>
      </w:r>
    </w:p>
    <w:p w14:paraId="244A86E3">
      <w:pPr>
        <w:numPr>
          <w:ilvl w:val="0"/>
          <w:numId w:val="3"/>
        </w:numPr>
        <w:tabs>
          <w:tab w:val="right" w:pos="142"/>
          <w:tab w:val="right" w:pos="709"/>
          <w:tab w:val="clear" w:pos="567"/>
        </w:tabs>
        <w:spacing w:line="360" w:lineRule="auto"/>
        <w:ind w:left="0"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当招标文件中出现前后表述不一致的时候，以招标文件中对投标人责任规定较严格的为准。</w:t>
      </w:r>
    </w:p>
    <w:p w14:paraId="22C40165">
      <w:pPr>
        <w:numPr>
          <w:ilvl w:val="0"/>
          <w:numId w:val="3"/>
        </w:numPr>
        <w:tabs>
          <w:tab w:val="right" w:pos="142"/>
          <w:tab w:val="right" w:pos="709"/>
          <w:tab w:val="clear" w:pos="567"/>
        </w:tabs>
        <w:spacing w:line="360" w:lineRule="auto"/>
        <w:ind w:left="0"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当投标文件中出现前后表述不一致的时候，以投标文件中对投标人责任规定较严格的为准。</w:t>
      </w:r>
    </w:p>
    <w:p w14:paraId="286C3E6F">
      <w:pPr>
        <w:numPr>
          <w:ilvl w:val="0"/>
          <w:numId w:val="3"/>
        </w:numPr>
        <w:tabs>
          <w:tab w:val="right" w:pos="142"/>
          <w:tab w:val="right" w:pos="709"/>
          <w:tab w:val="clear" w:pos="567"/>
        </w:tabs>
        <w:spacing w:line="360" w:lineRule="auto"/>
        <w:ind w:left="0"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投标报价合理性的提交及认定：</w:t>
      </w:r>
    </w:p>
    <w:p w14:paraId="38A2C489">
      <w:pPr>
        <w:tabs>
          <w:tab w:val="right" w:pos="142"/>
          <w:tab w:val="right" w:pos="709"/>
        </w:tabs>
        <w:spacing w:line="360" w:lineRule="auto"/>
        <w:ind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a.投标报价合理性说明的提交方式：现场或电子邮件提交（邮箱地址：</w:t>
      </w:r>
      <w:r>
        <w:rPr>
          <w:rStyle w:val="21"/>
          <w:rFonts w:hint="eastAsia" w:ascii="宋体" w:hAnsi="宋体" w:cs="宋体"/>
          <w:b/>
          <w:bCs/>
          <w:szCs w:val="21"/>
          <w:highlight w:val="none"/>
          <w:lang w:val="en-US"/>
        </w:rPr>
        <w:t>877457502@qq.com</w:t>
      </w:r>
      <w:r>
        <w:rPr>
          <w:rStyle w:val="21"/>
          <w:rFonts w:hint="eastAsia" w:ascii="宋体" w:hAnsi="宋体" w:cs="宋体"/>
          <w:b/>
          <w:bCs/>
          <w:szCs w:val="21"/>
          <w:highlight w:val="none"/>
          <w:lang w:val="zh-CN"/>
        </w:rPr>
        <w:t>）；</w:t>
      </w:r>
    </w:p>
    <w:p w14:paraId="2313D323">
      <w:pPr>
        <w:tabs>
          <w:tab w:val="right" w:pos="142"/>
          <w:tab w:val="right" w:pos="709"/>
        </w:tabs>
        <w:spacing w:line="360" w:lineRule="auto"/>
        <w:ind w:firstLine="422" w:firstLineChars="200"/>
        <w:rPr>
          <w:rStyle w:val="21"/>
          <w:rFonts w:ascii="宋体" w:hAnsi="宋体" w:cs="宋体"/>
          <w:b/>
          <w:bCs/>
          <w:szCs w:val="21"/>
          <w:highlight w:val="none"/>
          <w:lang w:val="zh-CN"/>
        </w:rPr>
      </w:pPr>
      <w:r>
        <w:rPr>
          <w:rStyle w:val="21"/>
          <w:rFonts w:hint="eastAsia" w:ascii="宋体" w:hAnsi="宋体" w:cs="宋体"/>
          <w:b/>
          <w:bCs/>
          <w:szCs w:val="21"/>
          <w:highlight w:val="none"/>
          <w:lang w:val="zh-CN"/>
        </w:rPr>
        <w:t>b.若评审委员会成员对是否须由投标人作出报价合理性说明，以及书面说明是否采纳等判断不一致的，按照“少数服从多数”的原则确定评审委员会的意见。</w:t>
      </w:r>
    </w:p>
    <w:p w14:paraId="2C00525A">
      <w:pPr>
        <w:rPr>
          <w:rFonts w:hint="eastAsia" w:ascii="宋体" w:hAnsi="宋体" w:cs="宋体"/>
          <w:b/>
          <w:bCs/>
          <w:sz w:val="36"/>
          <w:szCs w:val="36"/>
          <w:highlight w:val="none"/>
        </w:rPr>
      </w:pPr>
      <w:bookmarkStart w:id="75" w:name="_Toc21106"/>
      <w:r>
        <w:rPr>
          <w:rFonts w:hint="eastAsia" w:ascii="宋体" w:hAnsi="宋体" w:cs="宋体"/>
          <w:b/>
          <w:bCs/>
          <w:sz w:val="36"/>
          <w:szCs w:val="36"/>
          <w:highlight w:val="none"/>
        </w:rPr>
        <w:br w:type="page"/>
      </w:r>
    </w:p>
    <w:p w14:paraId="755E022A">
      <w:pPr>
        <w:pStyle w:val="3"/>
        <w:snapToGrid w:val="0"/>
        <w:jc w:val="center"/>
        <w:outlineLvl w:val="1"/>
        <w:rPr>
          <w:rFonts w:ascii="宋体" w:hAnsi="宋体" w:cs="宋体"/>
          <w:sz w:val="36"/>
          <w:szCs w:val="36"/>
          <w:highlight w:val="none"/>
        </w:rPr>
      </w:pPr>
      <w:r>
        <w:rPr>
          <w:rFonts w:hint="eastAsia" w:ascii="宋体" w:hAnsi="宋体" w:cs="宋体"/>
          <w:b/>
          <w:bCs/>
          <w:sz w:val="36"/>
          <w:szCs w:val="36"/>
          <w:highlight w:val="none"/>
        </w:rPr>
        <w:t>第四章投标文件格式</w:t>
      </w:r>
      <w:bookmarkEnd w:id="75"/>
    </w:p>
    <w:p w14:paraId="26F9BFAF">
      <w:pPr>
        <w:pStyle w:val="2"/>
        <w:spacing w:line="360" w:lineRule="auto"/>
        <w:jc w:val="center"/>
        <w:rPr>
          <w:rFonts w:hint="eastAsia" w:ascii="宋体" w:hAnsi="宋体" w:cs="宋体"/>
          <w:b/>
          <w:highlight w:val="none"/>
        </w:rPr>
      </w:pPr>
    </w:p>
    <w:p w14:paraId="1E4E1012">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highlight w:val="none"/>
        </w:rPr>
      </w:pPr>
    </w:p>
    <w:p w14:paraId="606F60AE">
      <w:pPr>
        <w:widowControl/>
        <w:tabs>
          <w:tab w:val="left" w:pos="142"/>
        </w:tabs>
        <w:autoSpaceDE w:val="0"/>
        <w:autoSpaceDN w:val="0"/>
        <w:spacing w:line="312" w:lineRule="auto"/>
        <w:ind w:right="28"/>
        <w:jc w:val="center"/>
        <w:textAlignment w:val="bottom"/>
        <w:rPr>
          <w:b/>
          <w:bCs/>
          <w:sz w:val="32"/>
          <w:szCs w:val="32"/>
          <w:highlight w:val="none"/>
        </w:rPr>
      </w:pPr>
    </w:p>
    <w:p w14:paraId="4B209C85">
      <w:pPr>
        <w:pStyle w:val="2"/>
        <w:spacing w:line="312" w:lineRule="auto"/>
        <w:ind w:firstLine="1260" w:firstLineChars="45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目录</w:t>
      </w:r>
    </w:p>
    <w:p w14:paraId="4A2C8CA7">
      <w:pPr>
        <w:pStyle w:val="2"/>
        <w:spacing w:line="312" w:lineRule="auto"/>
        <w:ind w:firstLine="1260" w:firstLineChars="450"/>
        <w:rPr>
          <w:rFonts w:ascii="宋体" w:hAnsi="宋体" w:cs="宋体"/>
          <w:sz w:val="28"/>
          <w:szCs w:val="28"/>
          <w:highlight w:val="none"/>
        </w:rPr>
      </w:pPr>
      <w:r>
        <w:rPr>
          <w:rFonts w:hint="eastAsia" w:ascii="宋体" w:hAnsi="宋体" w:cs="宋体"/>
          <w:sz w:val="28"/>
          <w:szCs w:val="28"/>
          <w:highlight w:val="none"/>
        </w:rPr>
        <w:t>第一部分报价文件</w:t>
      </w:r>
    </w:p>
    <w:p w14:paraId="532D1E85">
      <w:pPr>
        <w:pStyle w:val="2"/>
        <w:spacing w:line="312" w:lineRule="auto"/>
        <w:ind w:firstLine="1260" w:firstLineChars="450"/>
        <w:rPr>
          <w:rFonts w:ascii="宋体" w:hAnsi="宋体" w:cs="宋体"/>
          <w:sz w:val="28"/>
          <w:szCs w:val="28"/>
          <w:highlight w:val="none"/>
        </w:rPr>
      </w:pPr>
      <w:r>
        <w:rPr>
          <w:rFonts w:hint="eastAsia" w:ascii="宋体" w:hAnsi="宋体" w:cs="宋体"/>
          <w:sz w:val="28"/>
          <w:szCs w:val="28"/>
          <w:highlight w:val="none"/>
        </w:rPr>
        <w:t>第二部分资格性、符合性审查文件</w:t>
      </w:r>
    </w:p>
    <w:p w14:paraId="3C522C99">
      <w:pPr>
        <w:pStyle w:val="2"/>
        <w:spacing w:line="312" w:lineRule="auto"/>
        <w:ind w:firstLine="1260" w:firstLineChars="450"/>
        <w:rPr>
          <w:rFonts w:ascii="宋体" w:hAnsi="宋体" w:cs="宋体"/>
          <w:sz w:val="28"/>
          <w:szCs w:val="28"/>
          <w:highlight w:val="none"/>
        </w:rPr>
      </w:pPr>
      <w:r>
        <w:rPr>
          <w:rFonts w:hint="eastAsia" w:ascii="宋体" w:hAnsi="宋体" w:cs="宋体"/>
          <w:sz w:val="28"/>
          <w:szCs w:val="28"/>
          <w:highlight w:val="none"/>
        </w:rPr>
        <w:t>第三部分商务评审文件</w:t>
      </w:r>
    </w:p>
    <w:p w14:paraId="06519F16">
      <w:pPr>
        <w:pStyle w:val="2"/>
        <w:spacing w:line="312" w:lineRule="auto"/>
        <w:ind w:firstLine="1260" w:firstLineChars="450"/>
        <w:rPr>
          <w:rFonts w:ascii="宋体" w:hAnsi="宋体" w:cs="宋体"/>
          <w:sz w:val="28"/>
          <w:szCs w:val="28"/>
          <w:highlight w:val="none"/>
        </w:rPr>
      </w:pPr>
      <w:r>
        <w:rPr>
          <w:rFonts w:hint="eastAsia" w:ascii="宋体" w:hAnsi="宋体" w:cs="宋体"/>
          <w:sz w:val="28"/>
          <w:szCs w:val="28"/>
          <w:highlight w:val="none"/>
        </w:rPr>
        <w:t>第四部分技术评审文件</w:t>
      </w:r>
    </w:p>
    <w:p w14:paraId="30B738BB">
      <w:pPr>
        <w:widowControl/>
        <w:tabs>
          <w:tab w:val="left" w:pos="142"/>
        </w:tabs>
        <w:autoSpaceDE w:val="0"/>
        <w:autoSpaceDN w:val="0"/>
        <w:spacing w:line="312" w:lineRule="auto"/>
        <w:ind w:right="26"/>
        <w:jc w:val="center"/>
        <w:textAlignment w:val="bottom"/>
        <w:outlineLvl w:val="2"/>
        <w:rPr>
          <w:b/>
          <w:bCs/>
          <w:sz w:val="36"/>
          <w:szCs w:val="36"/>
          <w:highlight w:val="none"/>
        </w:rPr>
      </w:pPr>
      <w:r>
        <w:rPr>
          <w:rFonts w:hint="eastAsia"/>
          <w:sz w:val="24"/>
          <w:highlight w:val="none"/>
        </w:rPr>
        <w:br w:type="page"/>
      </w:r>
      <w:bookmarkStart w:id="76" w:name="_Toc9173"/>
      <w:r>
        <w:rPr>
          <w:rFonts w:hint="eastAsia"/>
          <w:b/>
          <w:bCs/>
          <w:sz w:val="36"/>
          <w:szCs w:val="36"/>
          <w:highlight w:val="none"/>
        </w:rPr>
        <w:t>第一部分报价文件</w:t>
      </w:r>
      <w:bookmarkEnd w:id="76"/>
    </w:p>
    <w:p w14:paraId="3650AF9F">
      <w:pPr>
        <w:pStyle w:val="7"/>
        <w:spacing w:line="360" w:lineRule="auto"/>
        <w:jc w:val="center"/>
        <w:rPr>
          <w:b/>
          <w:sz w:val="28"/>
          <w:highlight w:val="none"/>
        </w:rPr>
      </w:pPr>
    </w:p>
    <w:p w14:paraId="02FF827E">
      <w:pPr>
        <w:pStyle w:val="7"/>
        <w:numPr>
          <w:ilvl w:val="0"/>
          <w:numId w:val="4"/>
        </w:numPr>
        <w:spacing w:line="360" w:lineRule="auto"/>
        <w:jc w:val="center"/>
        <w:outlineLvl w:val="3"/>
        <w:rPr>
          <w:b/>
          <w:sz w:val="32"/>
          <w:szCs w:val="32"/>
          <w:highlight w:val="none"/>
        </w:rPr>
      </w:pPr>
      <w:r>
        <w:rPr>
          <w:rFonts w:hint="eastAsia"/>
          <w:b/>
          <w:sz w:val="32"/>
          <w:szCs w:val="32"/>
          <w:highlight w:val="none"/>
        </w:rPr>
        <w:t>投标一览表</w:t>
      </w:r>
    </w:p>
    <w:p w14:paraId="51B975AD">
      <w:pPr>
        <w:pStyle w:val="7"/>
        <w:spacing w:before="120" w:beforeLines="50" w:after="120" w:afterLines="50" w:line="360" w:lineRule="auto"/>
        <w:rPr>
          <w:rFonts w:hint="eastAsia" w:eastAsia="宋体"/>
          <w:b/>
          <w:bCs/>
          <w:sz w:val="24"/>
          <w:highlight w:val="none"/>
          <w:u w:val="single"/>
          <w:lang w:eastAsia="zh-CN"/>
        </w:rPr>
      </w:pPr>
      <w:r>
        <w:rPr>
          <w:rFonts w:hint="eastAsia"/>
          <w:b/>
          <w:bCs/>
          <w:sz w:val="24"/>
          <w:highlight w:val="none"/>
        </w:rPr>
        <w:t>投标人名称：</w:t>
      </w:r>
    </w:p>
    <w:p w14:paraId="5F85E205">
      <w:pPr>
        <w:pStyle w:val="7"/>
        <w:spacing w:before="120" w:beforeLines="50" w:after="120" w:afterLines="50" w:line="360" w:lineRule="auto"/>
        <w:rPr>
          <w:rFonts w:hint="eastAsia" w:eastAsia="宋体"/>
          <w:b/>
          <w:bCs/>
          <w:sz w:val="24"/>
          <w:highlight w:val="none"/>
          <w:lang w:eastAsia="zh-CN"/>
        </w:rPr>
      </w:pPr>
      <w:r>
        <w:rPr>
          <w:rFonts w:hint="eastAsia"/>
          <w:b/>
          <w:bCs/>
          <w:sz w:val="24"/>
          <w:highlight w:val="none"/>
        </w:rPr>
        <w:t>项目编号：</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3601"/>
        <w:gridCol w:w="1525"/>
        <w:gridCol w:w="1525"/>
      </w:tblGrid>
      <w:tr w14:paraId="0656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2308" w:type="dxa"/>
            <w:noWrap w:val="0"/>
            <w:vAlign w:val="center"/>
          </w:tcPr>
          <w:p w14:paraId="5CF1929E">
            <w:pPr>
              <w:pStyle w:val="7"/>
              <w:jc w:val="center"/>
              <w:rPr>
                <w:b/>
                <w:bCs/>
                <w:sz w:val="24"/>
                <w:highlight w:val="none"/>
              </w:rPr>
            </w:pPr>
            <w:r>
              <w:rPr>
                <w:rFonts w:hint="eastAsia"/>
                <w:b/>
                <w:bCs/>
                <w:sz w:val="24"/>
                <w:highlight w:val="none"/>
              </w:rPr>
              <w:t>项目名称</w:t>
            </w:r>
          </w:p>
        </w:tc>
        <w:tc>
          <w:tcPr>
            <w:tcW w:w="3601" w:type="dxa"/>
            <w:noWrap w:val="0"/>
            <w:vAlign w:val="center"/>
          </w:tcPr>
          <w:p w14:paraId="451047D6">
            <w:pPr>
              <w:pStyle w:val="7"/>
              <w:jc w:val="center"/>
              <w:rPr>
                <w:rFonts w:hint="eastAsia"/>
                <w:b/>
                <w:bCs/>
                <w:sz w:val="24"/>
                <w:highlight w:val="none"/>
                <w:lang w:eastAsia="zh-CN"/>
              </w:rPr>
            </w:pPr>
            <w:r>
              <w:rPr>
                <w:rFonts w:hint="eastAsia"/>
                <w:b/>
                <w:bCs/>
                <w:sz w:val="24"/>
                <w:highlight w:val="none"/>
                <w:lang w:eastAsia="zh-CN"/>
              </w:rPr>
              <w:t>单个项目最低收费</w:t>
            </w:r>
          </w:p>
          <w:p w14:paraId="647AEDDF">
            <w:pPr>
              <w:pStyle w:val="7"/>
              <w:jc w:val="center"/>
              <w:rPr>
                <w:b/>
                <w:bCs/>
                <w:sz w:val="24"/>
                <w:highlight w:val="none"/>
              </w:rPr>
            </w:pPr>
            <w:r>
              <w:rPr>
                <w:rFonts w:hint="eastAsia"/>
                <w:b/>
                <w:bCs/>
                <w:sz w:val="24"/>
                <w:highlight w:val="none"/>
              </w:rPr>
              <w:t>（人民币/元）</w:t>
            </w:r>
          </w:p>
        </w:tc>
        <w:tc>
          <w:tcPr>
            <w:tcW w:w="1525" w:type="dxa"/>
            <w:noWrap w:val="0"/>
            <w:vAlign w:val="center"/>
          </w:tcPr>
          <w:p w14:paraId="11E82453">
            <w:pPr>
              <w:pStyle w:val="7"/>
              <w:jc w:val="center"/>
              <w:rPr>
                <w:b/>
                <w:bCs/>
                <w:sz w:val="24"/>
                <w:highlight w:val="none"/>
              </w:rPr>
            </w:pPr>
            <w:r>
              <w:rPr>
                <w:rFonts w:hint="eastAsia"/>
                <w:b/>
                <w:bCs/>
                <w:sz w:val="24"/>
                <w:highlight w:val="none"/>
                <w:lang w:val="en-US" w:eastAsia="zh-CN"/>
              </w:rPr>
              <w:t>服务费折扣率</w:t>
            </w:r>
          </w:p>
        </w:tc>
        <w:tc>
          <w:tcPr>
            <w:tcW w:w="1525" w:type="dxa"/>
            <w:noWrap w:val="0"/>
            <w:vAlign w:val="center"/>
          </w:tcPr>
          <w:p w14:paraId="58140766">
            <w:pPr>
              <w:pStyle w:val="7"/>
              <w:jc w:val="center"/>
              <w:rPr>
                <w:b/>
                <w:bCs/>
                <w:sz w:val="24"/>
                <w:highlight w:val="none"/>
              </w:rPr>
            </w:pPr>
            <w:r>
              <w:rPr>
                <w:rFonts w:hint="eastAsia"/>
                <w:b/>
                <w:bCs/>
                <w:sz w:val="24"/>
                <w:highlight w:val="none"/>
              </w:rPr>
              <w:t>备注</w:t>
            </w:r>
          </w:p>
        </w:tc>
      </w:tr>
      <w:tr w14:paraId="3B24E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8" w:hRule="atLeast"/>
          <w:jc w:val="center"/>
        </w:trPr>
        <w:tc>
          <w:tcPr>
            <w:tcW w:w="2308" w:type="dxa"/>
            <w:noWrap w:val="0"/>
            <w:vAlign w:val="center"/>
          </w:tcPr>
          <w:p w14:paraId="427CD295">
            <w:pPr>
              <w:pStyle w:val="7"/>
              <w:rPr>
                <w:sz w:val="24"/>
                <w:highlight w:val="none"/>
              </w:rPr>
            </w:pPr>
          </w:p>
        </w:tc>
        <w:tc>
          <w:tcPr>
            <w:tcW w:w="3601" w:type="dxa"/>
            <w:noWrap w:val="0"/>
            <w:vAlign w:val="center"/>
          </w:tcPr>
          <w:p w14:paraId="16FEA637">
            <w:pPr>
              <w:pStyle w:val="7"/>
              <w:rPr>
                <w:sz w:val="24"/>
                <w:highlight w:val="none"/>
              </w:rPr>
            </w:pPr>
          </w:p>
          <w:p w14:paraId="4DA92E0D">
            <w:pPr>
              <w:rPr>
                <w:highlight w:val="none"/>
              </w:rPr>
            </w:pPr>
          </w:p>
          <w:p w14:paraId="64F86143">
            <w:pPr>
              <w:rPr>
                <w:highlight w:val="none"/>
              </w:rPr>
            </w:pPr>
          </w:p>
          <w:p w14:paraId="4F915FE0">
            <w:pPr>
              <w:rPr>
                <w:highlight w:val="none"/>
              </w:rPr>
            </w:pPr>
          </w:p>
          <w:p w14:paraId="484FE66D">
            <w:pPr>
              <w:pStyle w:val="7"/>
              <w:rPr>
                <w:sz w:val="24"/>
                <w:highlight w:val="none"/>
              </w:rPr>
            </w:pPr>
          </w:p>
        </w:tc>
        <w:tc>
          <w:tcPr>
            <w:tcW w:w="1525" w:type="dxa"/>
            <w:noWrap w:val="0"/>
            <w:vAlign w:val="center"/>
          </w:tcPr>
          <w:p w14:paraId="15E5D468">
            <w:pPr>
              <w:pStyle w:val="7"/>
              <w:rPr>
                <w:sz w:val="24"/>
                <w:highlight w:val="none"/>
              </w:rPr>
            </w:pPr>
          </w:p>
        </w:tc>
        <w:tc>
          <w:tcPr>
            <w:tcW w:w="1525" w:type="dxa"/>
            <w:noWrap w:val="0"/>
            <w:vAlign w:val="center"/>
          </w:tcPr>
          <w:p w14:paraId="1FC0D9DC">
            <w:pPr>
              <w:pStyle w:val="7"/>
              <w:rPr>
                <w:sz w:val="24"/>
                <w:highlight w:val="none"/>
              </w:rPr>
            </w:pPr>
          </w:p>
        </w:tc>
      </w:tr>
    </w:tbl>
    <w:p w14:paraId="39C0F005"/>
    <w:p w14:paraId="1F8477B2">
      <w:pPr>
        <w:pStyle w:val="7"/>
        <w:spacing w:line="300" w:lineRule="auto"/>
        <w:rPr>
          <w:rFonts w:hAnsi="宋体" w:cs="宋体"/>
          <w:sz w:val="24"/>
        </w:rPr>
      </w:pPr>
      <w:r>
        <w:rPr>
          <w:rFonts w:hint="eastAsia" w:hAnsi="宋体" w:cs="宋体"/>
          <w:sz w:val="24"/>
        </w:rPr>
        <w:t>注：</w:t>
      </w:r>
    </w:p>
    <w:p w14:paraId="20E589D5">
      <w:pPr>
        <w:pStyle w:val="7"/>
        <w:spacing w:line="300" w:lineRule="auto"/>
        <w:rPr>
          <w:rFonts w:hint="eastAsia" w:hAnsi="宋体" w:cs="宋体"/>
          <w:sz w:val="24"/>
          <w:lang w:val="en-US" w:eastAsia="zh-CN"/>
        </w:rPr>
      </w:pPr>
      <w:r>
        <w:rPr>
          <w:rFonts w:hint="eastAsia" w:hAnsi="宋体" w:cs="宋体"/>
          <w:sz w:val="24"/>
          <w:lang w:val="en-US" w:eastAsia="zh-CN"/>
        </w:rPr>
        <w:t>1.</w:t>
      </w:r>
      <w:r>
        <w:rPr>
          <w:rFonts w:hint="eastAsia" w:hAnsi="宋体" w:cs="宋体"/>
          <w:sz w:val="24"/>
          <w:lang w:eastAsia="zh-CN"/>
        </w:rPr>
        <w:t>单个项目最低收费（元）：最低收费≤</w:t>
      </w:r>
      <w:r>
        <w:rPr>
          <w:rFonts w:hint="eastAsia" w:hAnsi="宋体" w:cs="宋体"/>
          <w:sz w:val="24"/>
          <w:lang w:val="en-US" w:eastAsia="zh-CN"/>
        </w:rPr>
        <w:t>6000元/项目。</w:t>
      </w:r>
    </w:p>
    <w:p w14:paraId="31C76236">
      <w:pPr>
        <w:pStyle w:val="7"/>
        <w:spacing w:line="300" w:lineRule="auto"/>
        <w:rPr>
          <w:rFonts w:hAnsi="宋体" w:cs="宋体"/>
          <w:sz w:val="24"/>
        </w:rPr>
      </w:pPr>
      <w:r>
        <w:rPr>
          <w:rFonts w:hint="default" w:hAnsi="宋体" w:cs="宋体"/>
          <w:sz w:val="24"/>
          <w:lang w:val="en-US" w:eastAsia="zh-CN"/>
        </w:rPr>
        <w:t>2.</w:t>
      </w:r>
      <w:r>
        <w:rPr>
          <w:rFonts w:hint="eastAsia" w:hAnsi="宋体" w:cs="宋体"/>
          <w:sz w:val="24"/>
          <w:lang w:val="en-US" w:eastAsia="zh-CN"/>
        </w:rPr>
        <w:t>服务费折扣率</w:t>
      </w:r>
      <w:r>
        <w:rPr>
          <w:rFonts w:hint="eastAsia" w:hAnsi="宋体" w:cs="宋体"/>
          <w:sz w:val="24"/>
          <w:lang w:eastAsia="zh-CN"/>
        </w:rPr>
        <w:t>：</w:t>
      </w:r>
      <w:r>
        <w:rPr>
          <w:rFonts w:hint="eastAsia" w:hAnsi="宋体" w:cs="宋体"/>
          <w:sz w:val="24"/>
          <w:lang w:val="en-US" w:eastAsia="zh-CN"/>
        </w:rPr>
        <w:t>100%≥服务费折扣率＞0%。</w:t>
      </w:r>
    </w:p>
    <w:p w14:paraId="7BD3C454"/>
    <w:p w14:paraId="0CC65F44">
      <w:pPr>
        <w:pStyle w:val="7"/>
        <w:spacing w:line="300" w:lineRule="auto"/>
        <w:ind w:firstLine="5467" w:firstLineChars="2269"/>
        <w:rPr>
          <w:b/>
          <w:bCs/>
          <w:sz w:val="24"/>
        </w:rPr>
      </w:pPr>
    </w:p>
    <w:p w14:paraId="4AB7B624">
      <w:pPr>
        <w:pStyle w:val="7"/>
        <w:spacing w:line="360" w:lineRule="auto"/>
        <w:rPr>
          <w:b/>
          <w:bCs/>
          <w:sz w:val="24"/>
        </w:rPr>
      </w:pPr>
      <w:r>
        <w:rPr>
          <w:rFonts w:hint="eastAsia"/>
          <w:b/>
          <w:bCs/>
          <w:sz w:val="24"/>
        </w:rPr>
        <w:t>投标人（公章）：</w:t>
      </w:r>
    </w:p>
    <w:p w14:paraId="74C1ABC2">
      <w:pPr>
        <w:spacing w:line="360" w:lineRule="auto"/>
        <w:rPr>
          <w:rFonts w:ascii="宋体"/>
          <w:sz w:val="24"/>
        </w:rPr>
      </w:pPr>
      <w:r>
        <w:rPr>
          <w:rFonts w:hint="eastAsia"/>
          <w:b/>
          <w:bCs/>
          <w:sz w:val="24"/>
        </w:rPr>
        <w:t>日期：年月日</w:t>
      </w:r>
    </w:p>
    <w:p w14:paraId="3579ED74">
      <w:pPr>
        <w:spacing w:line="360" w:lineRule="auto"/>
        <w:rPr>
          <w:rFonts w:hint="eastAsia"/>
          <w:b/>
          <w:sz w:val="32"/>
          <w:szCs w:val="32"/>
          <w:lang w:val="en-US" w:eastAsia="zh-CN"/>
        </w:rPr>
      </w:pPr>
      <w:r>
        <w:rPr>
          <w:rFonts w:hint="eastAsia"/>
        </w:rPr>
        <w:br w:type="page"/>
      </w:r>
    </w:p>
    <w:p w14:paraId="560310AC">
      <w:pPr>
        <w:pStyle w:val="7"/>
        <w:numPr>
          <w:ilvl w:val="0"/>
          <w:numId w:val="0"/>
        </w:numPr>
        <w:spacing w:line="360" w:lineRule="auto"/>
        <w:ind w:left="420" w:leftChars="0"/>
        <w:jc w:val="center"/>
        <w:outlineLvl w:val="3"/>
        <w:rPr>
          <w:b/>
          <w:sz w:val="32"/>
          <w:szCs w:val="32"/>
        </w:rPr>
      </w:pPr>
      <w:r>
        <w:rPr>
          <w:rFonts w:hint="eastAsia"/>
          <w:b/>
          <w:sz w:val="32"/>
          <w:szCs w:val="32"/>
          <w:lang w:val="en-US" w:eastAsia="zh-CN"/>
        </w:rPr>
        <w:t>二、</w:t>
      </w:r>
      <w:r>
        <w:rPr>
          <w:rFonts w:hint="eastAsia"/>
          <w:b/>
          <w:sz w:val="32"/>
          <w:szCs w:val="32"/>
        </w:rPr>
        <w:t>其它</w:t>
      </w:r>
      <w:r>
        <w:rPr>
          <w:rFonts w:hint="eastAsia"/>
          <w:b/>
          <w:sz w:val="32"/>
          <w:szCs w:val="32"/>
          <w:lang w:eastAsia="zh-CN"/>
        </w:rPr>
        <w:t>采购文件</w:t>
      </w:r>
      <w:r>
        <w:rPr>
          <w:rFonts w:hint="eastAsia"/>
          <w:b/>
          <w:sz w:val="32"/>
          <w:szCs w:val="32"/>
        </w:rPr>
        <w:t>要求的或投标人认为需要补充的报价文件</w:t>
      </w:r>
    </w:p>
    <w:p w14:paraId="4282D08D">
      <w:pPr>
        <w:widowControl/>
        <w:tabs>
          <w:tab w:val="left" w:pos="142"/>
        </w:tabs>
        <w:autoSpaceDE w:val="0"/>
        <w:autoSpaceDN w:val="0"/>
        <w:spacing w:line="312" w:lineRule="auto"/>
        <w:ind w:right="28"/>
        <w:jc w:val="center"/>
        <w:textAlignment w:val="bottom"/>
        <w:outlineLvl w:val="9"/>
        <w:rPr>
          <w:b/>
          <w:bCs/>
          <w:sz w:val="32"/>
          <w:szCs w:val="32"/>
        </w:rPr>
      </w:pPr>
      <w:bookmarkStart w:id="77" w:name="_Toc20751"/>
      <w:r>
        <w:rPr>
          <w:rFonts w:hint="eastAsia" w:ascii="宋体" w:hAnsi="宋体" w:cs="宋体"/>
          <w:b/>
          <w:bCs/>
          <w:sz w:val="32"/>
          <w:szCs w:val="32"/>
        </w:rPr>
        <w:t>（格式自拟）</w:t>
      </w:r>
      <w:bookmarkEnd w:id="77"/>
    </w:p>
    <w:p w14:paraId="7E14BA9F">
      <w:pPr>
        <w:widowControl/>
        <w:tabs>
          <w:tab w:val="left" w:pos="142"/>
        </w:tabs>
        <w:autoSpaceDE w:val="0"/>
        <w:autoSpaceDN w:val="0"/>
        <w:spacing w:line="312" w:lineRule="auto"/>
        <w:ind w:right="28"/>
        <w:jc w:val="center"/>
        <w:textAlignment w:val="bottom"/>
        <w:rPr>
          <w:b/>
          <w:bCs/>
          <w:sz w:val="32"/>
          <w:szCs w:val="32"/>
        </w:rPr>
      </w:pPr>
    </w:p>
    <w:p w14:paraId="58D07F4D">
      <w:pPr>
        <w:widowControl/>
        <w:tabs>
          <w:tab w:val="left" w:pos="142"/>
        </w:tabs>
        <w:autoSpaceDE w:val="0"/>
        <w:autoSpaceDN w:val="0"/>
        <w:spacing w:line="312" w:lineRule="auto"/>
        <w:ind w:right="28"/>
        <w:jc w:val="center"/>
        <w:textAlignment w:val="bottom"/>
        <w:outlineLvl w:val="2"/>
        <w:rPr>
          <w:b/>
          <w:bCs/>
          <w:sz w:val="36"/>
          <w:szCs w:val="36"/>
        </w:rPr>
      </w:pPr>
      <w:r>
        <w:rPr>
          <w:rFonts w:hint="eastAsia"/>
          <w:b/>
          <w:bCs/>
          <w:sz w:val="32"/>
          <w:szCs w:val="32"/>
        </w:rPr>
        <w:br w:type="page"/>
      </w:r>
      <w:bookmarkStart w:id="78" w:name="_Toc6585"/>
      <w:r>
        <w:rPr>
          <w:rFonts w:hint="eastAsia"/>
          <w:b/>
          <w:bCs/>
          <w:sz w:val="36"/>
          <w:szCs w:val="36"/>
        </w:rPr>
        <w:t>第二部分资格性、符合性审查文件</w:t>
      </w:r>
      <w:bookmarkEnd w:id="78"/>
    </w:p>
    <w:p w14:paraId="7AFCC4FC">
      <w:pPr>
        <w:spacing w:line="360" w:lineRule="auto"/>
        <w:jc w:val="center"/>
        <w:outlineLvl w:val="3"/>
        <w:rPr>
          <w:rFonts w:ascii="宋体"/>
          <w:b/>
          <w:sz w:val="32"/>
          <w:szCs w:val="32"/>
        </w:rPr>
      </w:pPr>
      <w:r>
        <w:rPr>
          <w:rFonts w:hint="eastAsia" w:ascii="宋体"/>
          <w:b/>
          <w:sz w:val="32"/>
          <w:szCs w:val="32"/>
          <w:lang w:eastAsia="zh-CN"/>
        </w:rPr>
        <w:t>一</w:t>
      </w:r>
      <w:r>
        <w:rPr>
          <w:rFonts w:hint="eastAsia" w:ascii="宋体"/>
          <w:b/>
          <w:sz w:val="32"/>
          <w:szCs w:val="32"/>
        </w:rPr>
        <w:t>、营业执照（或事业单位法人证书）等证明资料复印件加盖公章</w:t>
      </w:r>
      <w:r>
        <w:rPr>
          <w:rFonts w:hint="eastAsia" w:ascii="宋体"/>
          <w:b/>
          <w:sz w:val="32"/>
          <w:szCs w:val="32"/>
        </w:rPr>
        <w:br w:type="page"/>
      </w:r>
      <w:r>
        <w:rPr>
          <w:rFonts w:hint="eastAsia" w:ascii="宋体"/>
          <w:b/>
          <w:sz w:val="32"/>
          <w:szCs w:val="32"/>
          <w:lang w:val="en-US" w:eastAsia="zh-CN"/>
        </w:rPr>
        <w:t>二</w:t>
      </w:r>
      <w:r>
        <w:rPr>
          <w:rFonts w:hint="eastAsia" w:ascii="宋体"/>
          <w:b/>
          <w:sz w:val="32"/>
          <w:szCs w:val="32"/>
        </w:rPr>
        <w:t>、政府采购投标及履约承诺函</w:t>
      </w:r>
    </w:p>
    <w:p w14:paraId="7325AD3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z w:val="24"/>
        </w:rPr>
      </w:pPr>
      <w:r>
        <w:rPr>
          <w:rFonts w:hint="eastAsia" w:ascii="宋体" w:hAnsi="宋体"/>
          <w:b/>
          <w:sz w:val="24"/>
        </w:rPr>
        <w:t>中国医学科学院肿瘤医院深圳医院：</w:t>
      </w:r>
    </w:p>
    <w:p w14:paraId="50AE01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我单位承诺：</w:t>
      </w:r>
    </w:p>
    <w:p w14:paraId="5BEE76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1.我单位参与本项目所投标（响应）的货物、工程或服务不存在侵犯知识产权的情况。</w:t>
      </w:r>
    </w:p>
    <w:p w14:paraId="2E592BA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2.我单位具备《中华人民共和国政府采购法》第二十二条的条件。</w:t>
      </w:r>
    </w:p>
    <w:p w14:paraId="66DD84B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3.我单位参与本项目政府采购活动时不存在被有关部门禁止参与政府采购活动且在有效期内的情况。</w:t>
      </w:r>
    </w:p>
    <w:p w14:paraId="6CBE0DF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我单位至开标当日，未有在“信用中国、中国政府采购网、深圳信用网、深圳市政府采购监管网”等网站中被列入“失信被执行人、重大税收违法案件当事人名单（重大税收违法失信主体）、政府采购严重违法失信行为记录名单”的情况。</w:t>
      </w:r>
    </w:p>
    <w:p w14:paraId="7442CE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color w:val="000000" w:themeColor="text1"/>
          <w:sz w:val="24"/>
          <w:szCs w:val="24"/>
          <w14:textFill>
            <w14:solidFill>
              <w14:schemeClr w14:val="tx1"/>
            </w14:solidFill>
          </w14:textFill>
        </w:rPr>
        <w:t>我单位参与本项目投标前三年内</w:t>
      </w:r>
      <w:r>
        <w:rPr>
          <w:rFonts w:hint="eastAsia" w:ascii="宋体" w:hAnsi="宋体" w:cs="宋体"/>
          <w:color w:val="000000" w:themeColor="text1"/>
          <w:sz w:val="24"/>
          <w:szCs w:val="24"/>
          <w14:textFill>
            <w14:solidFill>
              <w14:schemeClr w14:val="tx1"/>
            </w14:solidFill>
          </w14:textFill>
        </w:rPr>
        <w:t>无行贿犯罪记录。</w:t>
      </w:r>
    </w:p>
    <w:p w14:paraId="28CACC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6.我单位参与本项目投标，严格遵循政府采购相关法律和公平竞争的原则，不造假、不围标、不串标、不陪标，不损害采购人或者其他投标人的合法权益。我单位已清楚，如违反上述要求，我单位自行承担</w:t>
      </w:r>
      <w:r>
        <w:rPr>
          <w:rFonts w:hint="eastAsia" w:ascii="宋体" w:hAnsi="宋体"/>
          <w:color w:val="000000" w:themeColor="text1"/>
          <w:sz w:val="24"/>
          <w:szCs w:val="24"/>
          <w14:textFill>
            <w14:solidFill>
              <w14:schemeClr w14:val="tx1"/>
            </w14:solidFill>
          </w14:textFill>
        </w:rPr>
        <w:t>投标被无效处理、被提请政府采购主管部门给予处罚的风险。</w:t>
      </w:r>
    </w:p>
    <w:p w14:paraId="455561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7.我单位如果中标，做到守信，不偷工减料，依照本项目</w:t>
      </w:r>
      <w:r>
        <w:rPr>
          <w:rFonts w:hint="eastAsia" w:ascii="宋体" w:hAnsi="宋体" w:cs="宋体"/>
          <w:color w:val="000000" w:themeColor="text1"/>
          <w:sz w:val="24"/>
          <w:szCs w:val="24"/>
          <w:lang w:eastAsia="zh-CN"/>
          <w14:textFill>
            <w14:solidFill>
              <w14:schemeClr w14:val="tx1"/>
            </w14:solidFill>
          </w14:textFill>
        </w:rPr>
        <w:t>采购文件</w:t>
      </w:r>
      <w:r>
        <w:rPr>
          <w:rFonts w:hint="eastAsia" w:ascii="宋体" w:hAnsi="宋体" w:cs="宋体"/>
          <w:color w:val="000000" w:themeColor="text1"/>
          <w:sz w:val="24"/>
          <w:szCs w:val="24"/>
          <w14:textFill>
            <w14:solidFill>
              <w14:schemeClr w14:val="tx1"/>
            </w14:solidFill>
          </w14:textFill>
        </w:rPr>
        <w:t>需求内容、签署的采购合同及本单位在投标中所作的一切承诺履约。我单位对本项目的报价负责，中标后将严格按照本项目</w:t>
      </w:r>
      <w:r>
        <w:rPr>
          <w:rFonts w:hint="eastAsia" w:ascii="宋体" w:hAnsi="宋体" w:cs="宋体"/>
          <w:color w:val="000000" w:themeColor="text1"/>
          <w:sz w:val="24"/>
          <w:szCs w:val="24"/>
          <w:lang w:eastAsia="zh-CN"/>
          <w14:textFill>
            <w14:solidFill>
              <w14:schemeClr w14:val="tx1"/>
            </w14:solidFill>
          </w14:textFill>
        </w:rPr>
        <w:t>采购文件</w:t>
      </w:r>
      <w:r>
        <w:rPr>
          <w:rFonts w:hint="eastAsia" w:ascii="宋体" w:hAnsi="宋体" w:cs="宋体"/>
          <w:color w:val="000000" w:themeColor="text1"/>
          <w:sz w:val="24"/>
          <w:szCs w:val="24"/>
          <w14:textFill>
            <w14:solidFill>
              <w14:schemeClr w14:val="tx1"/>
            </w14:solidFill>
          </w14:textFill>
        </w:rPr>
        <w:t>需求、签署的采购合同及我单位在投标中所作的全部承诺履行。</w:t>
      </w:r>
    </w:p>
    <w:p w14:paraId="40A8B4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4DA24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14A09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9.我单位承诺中标后项目不转包，未经采购人同意不进行分包。</w:t>
      </w:r>
    </w:p>
    <w:p w14:paraId="114C5BE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DE7EB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11.我单位保证，若所投货物涉及《财政部生态环境部关于印发节能产品政府采购品目清单的通知》（财库〔2019〕19号）列明的政府采购强制产品，则所投该产品符合节能产品的认证要求。</w:t>
      </w:r>
    </w:p>
    <w:p w14:paraId="2D9448D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667567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4519A46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14.我单位清楚，如存在违反投标承诺行为情节严重的，将根据《深圳市财政局关于印发&lt;深圳市财政局政府采购供应商信用信息管理办法&gt;的通知》，依法被列入失信信息。</w:t>
      </w:r>
    </w:p>
    <w:p w14:paraId="174DAB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15.我单位（公司）承诺不存在《深圳市财政局政府采购供应商信用信息管理办法》（深财规〔2023〕3号）列明的严重违法失信行为</w:t>
      </w:r>
      <w:r>
        <w:rPr>
          <w:rFonts w:hint="eastAsia" w:ascii="宋体" w:hAnsi="宋体" w:cs="宋体"/>
          <w:color w:val="000000" w:themeColor="text1"/>
          <w:sz w:val="24"/>
          <w:szCs w:val="24"/>
          <w:lang w:eastAsia="zh-CN"/>
          <w14:textFill>
            <w14:solidFill>
              <w14:schemeClr w14:val="tx1"/>
            </w14:solidFill>
          </w14:textFill>
        </w:rPr>
        <w:t>。</w:t>
      </w:r>
    </w:p>
    <w:p w14:paraId="62E387A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16.</w:t>
      </w:r>
      <w:r>
        <w:rPr>
          <w:rFonts w:hint="eastAsia" w:ascii="宋体" w:hAnsi="宋体" w:cs="宋体"/>
          <w:color w:val="000000" w:themeColor="text1"/>
          <w:sz w:val="24"/>
          <w:szCs w:val="24"/>
          <w14:textFill>
            <w14:solidFill>
              <w14:schemeClr w14:val="tx1"/>
            </w14:solidFill>
          </w14:textFill>
        </w:rPr>
        <w:t>我单位已知悉并同意中标（成交）结果信息公示（公开）的内容。</w:t>
      </w:r>
    </w:p>
    <w:p w14:paraId="362D20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承诺单位（公司）盖章：</w:t>
      </w:r>
    </w:p>
    <w:p w14:paraId="1A0F8027">
      <w:pPr>
        <w:pStyle w:val="7"/>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ascii="Arial" w:hAnsi="Arial" w:eastAsia="宋体" w:cs="Arial"/>
          <w:b/>
          <w:bCs/>
          <w:color w:val="000000"/>
          <w:sz w:val="24"/>
          <w:szCs w:val="24"/>
          <w:lang w:eastAsia="zh-CN"/>
        </w:rPr>
      </w:pPr>
      <w:r>
        <w:rPr>
          <w:rFonts w:hint="eastAsia" w:hAnsi="宋体" w:cs="宋体"/>
          <w:b/>
          <w:bCs/>
          <w:color w:val="000000"/>
          <w:sz w:val="24"/>
          <w:szCs w:val="24"/>
        </w:rPr>
        <w:t>年月日</w:t>
      </w:r>
    </w:p>
    <w:p w14:paraId="4D15F03E">
      <w:pPr>
        <w:spacing w:line="264" w:lineRule="auto"/>
        <w:ind w:firstLine="422" w:firstLineChars="200"/>
        <w:rPr>
          <w:rFonts w:hint="eastAsia" w:ascii="宋体" w:hAnsi="宋体" w:cs="宋体"/>
          <w:b/>
          <w:bCs/>
          <w:color w:val="000000"/>
          <w:szCs w:val="21"/>
        </w:rPr>
      </w:pPr>
    </w:p>
    <w:p w14:paraId="6FFC7874">
      <w:pPr>
        <w:spacing w:line="264" w:lineRule="auto"/>
        <w:ind w:firstLine="422" w:firstLineChars="200"/>
        <w:rPr>
          <w:rFonts w:ascii="宋体" w:hAnsi="宋体" w:cs="宋体"/>
          <w:b/>
          <w:bCs/>
          <w:color w:val="000000"/>
          <w:szCs w:val="21"/>
        </w:rPr>
      </w:pPr>
      <w:r>
        <w:rPr>
          <w:rFonts w:hint="eastAsia" w:ascii="宋体" w:hAnsi="宋体" w:cs="宋体"/>
          <w:b/>
          <w:bCs/>
          <w:color w:val="000000"/>
          <w:szCs w:val="21"/>
        </w:rPr>
        <w:t>（注：若投标人有出现过《政府采购投标及履约承诺函》提到的行为，不可提供该承诺函，否则按相关规定处理；若没有出现过《政府采购投标及履约承诺函》提到的行为，按要求填写，不得更改承诺内容。）</w:t>
      </w:r>
    </w:p>
    <w:p w14:paraId="7F8C2C18">
      <w:pPr>
        <w:spacing w:line="360" w:lineRule="auto"/>
        <w:jc w:val="center"/>
        <w:outlineLvl w:val="9"/>
        <w:rPr>
          <w:rFonts w:hint="eastAsia" w:ascii="宋体"/>
          <w:b/>
          <w:sz w:val="32"/>
          <w:szCs w:val="32"/>
        </w:rPr>
      </w:pPr>
    </w:p>
    <w:p w14:paraId="50136698">
      <w:pPr>
        <w:jc w:val="center"/>
        <w:outlineLvl w:val="3"/>
        <w:rPr>
          <w:rFonts w:hint="eastAsia" w:ascii="宋体" w:hAnsi="宋体" w:eastAsia="宋体" w:cs="Times New Roman"/>
          <w:b/>
          <w:bCs/>
          <w:color w:val="auto"/>
          <w:kern w:val="2"/>
          <w:sz w:val="21"/>
          <w:highlight w:val="none"/>
        </w:rPr>
      </w:pPr>
      <w:r>
        <w:rPr>
          <w:rFonts w:hint="eastAsia" w:ascii="宋体"/>
          <w:b/>
          <w:sz w:val="32"/>
          <w:szCs w:val="32"/>
        </w:rPr>
        <w:br w:type="page"/>
      </w:r>
      <w:r>
        <w:rPr>
          <w:rFonts w:hint="eastAsia" w:ascii="宋体"/>
          <w:b/>
          <w:sz w:val="32"/>
          <w:szCs w:val="32"/>
          <w:lang w:val="en-US" w:eastAsia="zh-CN"/>
        </w:rPr>
        <w:t>三</w:t>
      </w:r>
      <w:r>
        <w:rPr>
          <w:rFonts w:hint="eastAsia" w:ascii="宋体" w:hAnsi="Times New Roman" w:eastAsia="宋体" w:cs="Times New Roman"/>
          <w:b/>
          <w:sz w:val="32"/>
          <w:szCs w:val="32"/>
          <w:highlight w:val="none"/>
          <w:lang w:val="en-US" w:eastAsia="zh-CN"/>
        </w:rPr>
        <w:t>、</w:t>
      </w:r>
      <w:r>
        <w:rPr>
          <w:rFonts w:hint="eastAsia" w:ascii="宋体" w:hAnsi="Times New Roman" w:eastAsia="宋体" w:cs="Times New Roman"/>
          <w:b/>
          <w:sz w:val="32"/>
          <w:szCs w:val="32"/>
          <w:highlight w:val="none"/>
        </w:rPr>
        <w:t>《供应商基本情况表》</w:t>
      </w:r>
    </w:p>
    <w:p w14:paraId="0A344509">
      <w:pPr>
        <w:spacing w:after="0" w:line="240" w:lineRule="auto"/>
        <w:jc w:val="left"/>
        <w:rPr>
          <w:szCs w:val="21"/>
          <w:highlight w:val="none"/>
        </w:rPr>
      </w:pPr>
      <w:r>
        <w:rPr>
          <w:rFonts w:hint="eastAsia"/>
          <w:szCs w:val="21"/>
          <w:highlight w:val="none"/>
        </w:rPr>
        <w:t>填表单位</w:t>
      </w:r>
      <w:bookmarkStart w:id="79" w:name="_Hlk189743140"/>
      <w:r>
        <w:rPr>
          <w:rFonts w:hint="eastAsia"/>
          <w:szCs w:val="21"/>
          <w:highlight w:val="none"/>
        </w:rPr>
        <w:t>（</w:t>
      </w:r>
      <w:r>
        <w:rPr>
          <w:rFonts w:hint="eastAsia"/>
          <w:b/>
          <w:bCs/>
          <w:color w:val="FF0000"/>
          <w:szCs w:val="21"/>
          <w:highlight w:val="none"/>
        </w:rPr>
        <w:t>加盖单位公章，必填项</w:t>
      </w:r>
      <w:r>
        <w:rPr>
          <w:rFonts w:hint="eastAsia"/>
          <w:szCs w:val="21"/>
          <w:highlight w:val="none"/>
        </w:rPr>
        <w:t>）</w:t>
      </w:r>
      <w:bookmarkEnd w:id="79"/>
      <w:r>
        <w:rPr>
          <w:rFonts w:hint="eastAsia"/>
          <w:szCs w:val="21"/>
          <w:highlight w:val="none"/>
        </w:rPr>
        <w:t>：</w:t>
      </w:r>
    </w:p>
    <w:p w14:paraId="1D2DA350">
      <w:pPr>
        <w:spacing w:after="0" w:line="240" w:lineRule="auto"/>
        <w:jc w:val="left"/>
        <w:rPr>
          <w:szCs w:val="21"/>
          <w:highlight w:val="none"/>
        </w:rPr>
      </w:pPr>
      <w:r>
        <w:rPr>
          <w:rFonts w:hint="eastAsia"/>
          <w:szCs w:val="21"/>
          <w:highlight w:val="none"/>
        </w:rPr>
        <w:t>填表日期（</w:t>
      </w:r>
      <w:r>
        <w:rPr>
          <w:rFonts w:hint="eastAsia"/>
          <w:b/>
          <w:bCs/>
          <w:color w:val="FF0000"/>
          <w:szCs w:val="21"/>
          <w:highlight w:val="none"/>
        </w:rPr>
        <w:t>必填项</w:t>
      </w:r>
      <w:r>
        <w:rPr>
          <w:rFonts w:hint="eastAsia"/>
          <w:szCs w:val="21"/>
          <w:highlight w:val="none"/>
        </w:rPr>
        <w:t>）：年月日</w:t>
      </w:r>
    </w:p>
    <w:p w14:paraId="4A3F7B26">
      <w:pPr>
        <w:spacing w:after="0" w:line="75" w:lineRule="exact"/>
        <w:rPr>
          <w:rFonts w:hint="eastAsia" w:ascii="宋体" w:hAnsi="宋体" w:cs="宋体"/>
          <w:szCs w:val="21"/>
          <w:highlight w:val="none"/>
        </w:rPr>
      </w:pPr>
    </w:p>
    <w:tbl>
      <w:tblPr>
        <w:tblStyle w:val="23"/>
        <w:tblW w:w="502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0"/>
        <w:gridCol w:w="634"/>
        <w:gridCol w:w="1431"/>
        <w:gridCol w:w="941"/>
        <w:gridCol w:w="736"/>
        <w:gridCol w:w="1113"/>
        <w:gridCol w:w="1393"/>
        <w:gridCol w:w="1431"/>
      </w:tblGrid>
      <w:tr w14:paraId="57948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6" w:type="pct"/>
            <w:gridSpan w:val="2"/>
            <w:vAlign w:val="center"/>
          </w:tcPr>
          <w:p w14:paraId="194AF8A9">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采购人</w:t>
            </w:r>
          </w:p>
          <w:p w14:paraId="361AE358">
            <w:pPr>
              <w:spacing w:after="0" w:line="203" w:lineRule="auto"/>
              <w:jc w:val="center"/>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（必填项）</w:t>
            </w:r>
          </w:p>
        </w:tc>
        <w:tc>
          <w:tcPr>
            <w:tcW w:w="1419" w:type="pct"/>
            <w:gridSpan w:val="2"/>
            <w:vAlign w:val="center"/>
          </w:tcPr>
          <w:p w14:paraId="5CEA5E45">
            <w:pPr>
              <w:spacing w:after="0" w:line="240" w:lineRule="auto"/>
              <w:rPr>
                <w:rFonts w:hint="eastAsia" w:ascii="宋体" w:hAnsi="宋体" w:cs="宋体"/>
                <w:szCs w:val="21"/>
                <w:highlight w:val="none"/>
              </w:rPr>
            </w:pPr>
          </w:p>
        </w:tc>
        <w:tc>
          <w:tcPr>
            <w:tcW w:w="1106" w:type="pct"/>
            <w:gridSpan w:val="2"/>
            <w:vAlign w:val="center"/>
          </w:tcPr>
          <w:p w14:paraId="0A52AA62">
            <w:pPr>
              <w:spacing w:after="0" w:line="203" w:lineRule="auto"/>
              <w:jc w:val="center"/>
              <w:rPr>
                <w:rFonts w:hint="eastAsia" w:ascii="宋体" w:hAnsi="宋体" w:cs="宋体"/>
                <w:b/>
                <w:bCs/>
                <w:color w:val="FF0000"/>
                <w:spacing w:val="-4"/>
                <w:szCs w:val="21"/>
                <w:highlight w:val="none"/>
                <w:lang w:eastAsia="en-US"/>
              </w:rPr>
            </w:pPr>
            <w:r>
              <w:rPr>
                <w:rFonts w:hint="eastAsia" w:ascii="宋体" w:hAnsi="宋体" w:cs="宋体"/>
                <w:b/>
                <w:bCs/>
                <w:color w:val="FF0000"/>
                <w:spacing w:val="-4"/>
                <w:szCs w:val="21"/>
                <w:highlight w:val="none"/>
                <w:lang w:eastAsia="en-US"/>
              </w:rPr>
              <w:t>项目名称</w:t>
            </w:r>
          </w:p>
          <w:p w14:paraId="6436EA23">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lang w:eastAsia="en-US"/>
              </w:rPr>
              <w:t>（必填项）</w:t>
            </w:r>
          </w:p>
        </w:tc>
        <w:tc>
          <w:tcPr>
            <w:tcW w:w="1687" w:type="pct"/>
            <w:gridSpan w:val="2"/>
            <w:vAlign w:val="center"/>
          </w:tcPr>
          <w:p w14:paraId="33FB2FAC">
            <w:pPr>
              <w:spacing w:after="0" w:line="240" w:lineRule="auto"/>
              <w:rPr>
                <w:rFonts w:hint="eastAsia" w:ascii="宋体" w:hAnsi="宋体" w:cs="宋体"/>
                <w:szCs w:val="21"/>
                <w:highlight w:val="none"/>
              </w:rPr>
            </w:pPr>
          </w:p>
        </w:tc>
      </w:tr>
      <w:tr w14:paraId="15909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786" w:type="pct"/>
            <w:gridSpan w:val="2"/>
            <w:vAlign w:val="center"/>
          </w:tcPr>
          <w:p w14:paraId="72DC134C">
            <w:pPr>
              <w:spacing w:after="0" w:line="203" w:lineRule="auto"/>
              <w:jc w:val="center"/>
              <w:rPr>
                <w:rFonts w:hint="eastAsia" w:ascii="宋体" w:hAnsi="宋体" w:cs="宋体"/>
                <w:spacing w:val="-5"/>
                <w:szCs w:val="21"/>
                <w:highlight w:val="none"/>
              </w:rPr>
            </w:pPr>
            <w:r>
              <w:rPr>
                <w:rFonts w:hint="eastAsia" w:ascii="宋体" w:hAnsi="宋体" w:cs="宋体"/>
                <w:b/>
                <w:bCs/>
                <w:color w:val="FF0000"/>
                <w:spacing w:val="-4"/>
                <w:szCs w:val="21"/>
                <w:highlight w:val="none"/>
              </w:rPr>
              <w:t>投标（响应）供应商（必填项）</w:t>
            </w:r>
          </w:p>
        </w:tc>
        <w:tc>
          <w:tcPr>
            <w:tcW w:w="1419" w:type="pct"/>
            <w:gridSpan w:val="2"/>
            <w:vAlign w:val="center"/>
          </w:tcPr>
          <w:p w14:paraId="4C16A5BD">
            <w:pPr>
              <w:spacing w:after="0" w:line="240" w:lineRule="auto"/>
              <w:rPr>
                <w:rFonts w:hint="eastAsia" w:ascii="宋体" w:hAnsi="宋体" w:cs="宋体"/>
                <w:szCs w:val="21"/>
                <w:highlight w:val="none"/>
              </w:rPr>
            </w:pPr>
          </w:p>
        </w:tc>
        <w:tc>
          <w:tcPr>
            <w:tcW w:w="1106" w:type="pct"/>
            <w:gridSpan w:val="2"/>
            <w:vAlign w:val="center"/>
          </w:tcPr>
          <w:p w14:paraId="07A6B3A6">
            <w:pPr>
              <w:spacing w:after="0" w:line="203" w:lineRule="auto"/>
              <w:jc w:val="center"/>
              <w:rPr>
                <w:rFonts w:hint="eastAsia" w:ascii="宋体" w:hAnsi="宋体" w:cs="宋体"/>
                <w:spacing w:val="-3"/>
                <w:szCs w:val="21"/>
                <w:highlight w:val="none"/>
              </w:rPr>
            </w:pPr>
            <w:r>
              <w:rPr>
                <w:rFonts w:hint="eastAsia" w:ascii="宋体" w:hAnsi="宋体" w:cs="宋体"/>
                <w:b/>
                <w:bCs/>
                <w:color w:val="FF0000"/>
                <w:spacing w:val="-4"/>
                <w:szCs w:val="21"/>
                <w:highlight w:val="none"/>
              </w:rPr>
              <w:t>供应商统一社会信用代码</w:t>
            </w:r>
            <w:r>
              <w:rPr>
                <w:rFonts w:ascii="宋体" w:hAnsi="宋体" w:cs="宋体"/>
                <w:b/>
                <w:bCs/>
                <w:color w:val="FF0000"/>
                <w:spacing w:val="-4"/>
                <w:szCs w:val="21"/>
                <w:highlight w:val="none"/>
                <w:lang w:eastAsia="en-US"/>
              </w:rPr>
              <w:t>（必填项）</w:t>
            </w:r>
          </w:p>
        </w:tc>
        <w:tc>
          <w:tcPr>
            <w:tcW w:w="1687" w:type="pct"/>
            <w:gridSpan w:val="2"/>
            <w:vAlign w:val="center"/>
          </w:tcPr>
          <w:p w14:paraId="45708042">
            <w:pPr>
              <w:spacing w:after="0" w:line="240" w:lineRule="auto"/>
              <w:rPr>
                <w:rFonts w:hint="eastAsia" w:ascii="宋体" w:hAnsi="宋体" w:cs="宋体"/>
                <w:szCs w:val="21"/>
                <w:highlight w:val="none"/>
              </w:rPr>
            </w:pPr>
          </w:p>
        </w:tc>
      </w:tr>
      <w:tr w14:paraId="452FF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6614B16">
            <w:pPr>
              <w:spacing w:after="0" w:line="198" w:lineRule="auto"/>
              <w:ind w:left="2683"/>
              <w:rPr>
                <w:rFonts w:hint="eastAsia" w:ascii="宋体" w:hAnsi="宋体" w:cs="宋体"/>
                <w:szCs w:val="21"/>
                <w:highlight w:val="none"/>
              </w:rPr>
            </w:pPr>
            <w:r>
              <w:rPr>
                <w:rFonts w:hint="eastAsia" w:ascii="宋体" w:hAnsi="宋体" w:cs="宋体"/>
                <w:b/>
                <w:bCs/>
                <w:szCs w:val="21"/>
                <w:highlight w:val="none"/>
              </w:rPr>
              <w:t>投标（响应）供应商相关人员情况</w:t>
            </w:r>
          </w:p>
        </w:tc>
      </w:tr>
      <w:tr w14:paraId="72AF2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vAlign w:val="center"/>
          </w:tcPr>
          <w:p w14:paraId="719923FF">
            <w:pPr>
              <w:keepNext w:val="0"/>
              <w:keepLines w:val="0"/>
              <w:pageBreakBefore w:val="0"/>
              <w:widowControl w:val="0"/>
              <w:kinsoku/>
              <w:wordWrap/>
              <w:overflowPunct/>
              <w:topLinePunct w:val="0"/>
              <w:autoSpaceDE/>
              <w:autoSpaceDN/>
              <w:bidi w:val="0"/>
              <w:adjustRightInd/>
              <w:snapToGrid/>
              <w:spacing w:after="0" w:line="240" w:lineRule="auto"/>
              <w:ind w:left="145"/>
              <w:textAlignment w:val="auto"/>
              <w:rPr>
                <w:rFonts w:hint="eastAsia" w:ascii="宋体" w:hAnsi="宋体" w:cs="宋体"/>
                <w:spacing w:val="-5"/>
                <w:szCs w:val="21"/>
                <w:highlight w:val="none"/>
              </w:rPr>
            </w:pPr>
            <w:r>
              <w:rPr>
                <w:rFonts w:hint="eastAsia" w:ascii="宋体" w:hAnsi="宋体" w:cs="宋体"/>
                <w:spacing w:val="-5"/>
                <w:szCs w:val="21"/>
                <w:highlight w:val="none"/>
              </w:rPr>
              <w:t>序号</w:t>
            </w:r>
          </w:p>
        </w:tc>
        <w:tc>
          <w:tcPr>
            <w:tcW w:w="1235" w:type="pct"/>
            <w:gridSpan w:val="2"/>
            <w:vAlign w:val="center"/>
          </w:tcPr>
          <w:p w14:paraId="353C621E">
            <w:pPr>
              <w:keepNext w:val="0"/>
              <w:keepLines w:val="0"/>
              <w:pageBreakBefore w:val="0"/>
              <w:widowControl w:val="0"/>
              <w:kinsoku/>
              <w:wordWrap/>
              <w:overflowPunct/>
              <w:topLinePunct w:val="0"/>
              <w:autoSpaceDE/>
              <w:autoSpaceDN/>
              <w:bidi w:val="0"/>
              <w:adjustRightInd/>
              <w:snapToGrid/>
              <w:spacing w:after="0" w:line="240" w:lineRule="auto"/>
              <w:ind w:left="916"/>
              <w:textAlignment w:val="auto"/>
              <w:rPr>
                <w:rFonts w:hint="eastAsia" w:ascii="宋体" w:hAnsi="宋体" w:cs="宋体"/>
                <w:spacing w:val="-6"/>
                <w:szCs w:val="21"/>
                <w:highlight w:val="none"/>
              </w:rPr>
            </w:pPr>
            <w:r>
              <w:rPr>
                <w:rFonts w:hint="eastAsia" w:ascii="宋体" w:hAnsi="宋体" w:cs="宋体"/>
                <w:spacing w:val="-6"/>
                <w:szCs w:val="21"/>
                <w:highlight w:val="none"/>
              </w:rPr>
              <w:t>职务</w:t>
            </w:r>
          </w:p>
        </w:tc>
        <w:tc>
          <w:tcPr>
            <w:tcW w:w="562" w:type="pct"/>
            <w:vAlign w:val="center"/>
          </w:tcPr>
          <w:p w14:paraId="74936F34">
            <w:pPr>
              <w:keepNext w:val="0"/>
              <w:keepLines w:val="0"/>
              <w:pageBreakBefore w:val="0"/>
              <w:widowControl w:val="0"/>
              <w:kinsoku/>
              <w:wordWrap/>
              <w:overflowPunct/>
              <w:topLinePunct w:val="0"/>
              <w:autoSpaceDE/>
              <w:autoSpaceDN/>
              <w:bidi w:val="0"/>
              <w:adjustRightInd/>
              <w:snapToGrid/>
              <w:spacing w:after="0" w:line="240" w:lineRule="auto"/>
              <w:ind w:left="245"/>
              <w:textAlignment w:val="auto"/>
              <w:rPr>
                <w:rFonts w:hint="eastAsia" w:ascii="宋体" w:hAnsi="宋体" w:cs="宋体"/>
                <w:spacing w:val="-4"/>
                <w:szCs w:val="21"/>
                <w:highlight w:val="none"/>
              </w:rPr>
            </w:pPr>
            <w:r>
              <w:rPr>
                <w:rFonts w:hint="eastAsia" w:ascii="宋体" w:hAnsi="宋体" w:cs="宋体"/>
                <w:spacing w:val="-4"/>
                <w:szCs w:val="21"/>
                <w:highlight w:val="none"/>
              </w:rPr>
              <w:t>姓名</w:t>
            </w:r>
          </w:p>
        </w:tc>
        <w:tc>
          <w:tcPr>
            <w:tcW w:w="1106" w:type="pct"/>
            <w:gridSpan w:val="2"/>
            <w:vAlign w:val="center"/>
          </w:tcPr>
          <w:p w14:paraId="1D6D0446">
            <w:pPr>
              <w:keepNext w:val="0"/>
              <w:keepLines w:val="0"/>
              <w:pageBreakBefore w:val="0"/>
              <w:widowControl w:val="0"/>
              <w:kinsoku/>
              <w:wordWrap/>
              <w:overflowPunct/>
              <w:topLinePunct w:val="0"/>
              <w:autoSpaceDE/>
              <w:autoSpaceDN/>
              <w:bidi w:val="0"/>
              <w:adjustRightInd/>
              <w:snapToGrid/>
              <w:spacing w:after="0" w:line="240" w:lineRule="auto"/>
              <w:ind w:left="410"/>
              <w:textAlignment w:val="auto"/>
              <w:rPr>
                <w:rFonts w:hint="eastAsia" w:ascii="宋体" w:hAnsi="宋体" w:cs="宋体"/>
                <w:spacing w:val="-3"/>
                <w:szCs w:val="21"/>
                <w:highlight w:val="none"/>
              </w:rPr>
            </w:pPr>
            <w:r>
              <w:rPr>
                <w:rFonts w:hint="eastAsia" w:ascii="宋体" w:hAnsi="宋体" w:cs="宋体"/>
                <w:spacing w:val="-3"/>
                <w:szCs w:val="21"/>
                <w:highlight w:val="none"/>
              </w:rPr>
              <w:t>身份证号码</w:t>
            </w:r>
          </w:p>
        </w:tc>
        <w:tc>
          <w:tcPr>
            <w:tcW w:w="833" w:type="pct"/>
            <w:vAlign w:val="center"/>
          </w:tcPr>
          <w:p w14:paraId="2C386867">
            <w:pPr>
              <w:keepNext w:val="0"/>
              <w:keepLines w:val="0"/>
              <w:pageBreakBefore w:val="0"/>
              <w:widowControl w:val="0"/>
              <w:kinsoku/>
              <w:wordWrap/>
              <w:overflowPunct/>
              <w:topLinePunct w:val="0"/>
              <w:autoSpaceDE/>
              <w:autoSpaceDN/>
              <w:bidi w:val="0"/>
              <w:adjustRightInd/>
              <w:snapToGrid/>
              <w:spacing w:after="0" w:line="240" w:lineRule="auto"/>
              <w:ind w:left="288" w:right="266" w:firstLine="5"/>
              <w:textAlignment w:val="auto"/>
              <w:rPr>
                <w:rFonts w:hint="eastAsia" w:ascii="宋体" w:hAnsi="宋体" w:cs="宋体"/>
                <w:spacing w:val="-7"/>
                <w:szCs w:val="21"/>
                <w:highlight w:val="none"/>
              </w:rPr>
            </w:pPr>
            <w:r>
              <w:rPr>
                <w:rFonts w:hint="eastAsia" w:ascii="宋体" w:hAnsi="宋体" w:cs="宋体"/>
                <w:spacing w:val="-7"/>
                <w:szCs w:val="21"/>
                <w:highlight w:val="none"/>
              </w:rPr>
              <w:t>劳动合同</w:t>
            </w:r>
          </w:p>
          <w:p w14:paraId="77604AAC">
            <w:pPr>
              <w:keepNext w:val="0"/>
              <w:keepLines w:val="0"/>
              <w:pageBreakBefore w:val="0"/>
              <w:widowControl w:val="0"/>
              <w:kinsoku/>
              <w:wordWrap/>
              <w:overflowPunct/>
              <w:topLinePunct w:val="0"/>
              <w:autoSpaceDE/>
              <w:autoSpaceDN/>
              <w:bidi w:val="0"/>
              <w:adjustRightInd/>
              <w:snapToGrid/>
              <w:spacing w:after="0" w:line="240" w:lineRule="auto"/>
              <w:ind w:left="288" w:right="266" w:firstLine="5"/>
              <w:textAlignment w:val="auto"/>
              <w:rPr>
                <w:rFonts w:hint="eastAsia" w:ascii="宋体" w:hAnsi="宋体" w:cs="宋体"/>
                <w:spacing w:val="-7"/>
                <w:szCs w:val="21"/>
                <w:highlight w:val="none"/>
              </w:rPr>
            </w:pPr>
            <w:r>
              <w:rPr>
                <w:rFonts w:hint="eastAsia" w:ascii="宋体" w:hAnsi="宋体" w:cs="宋体"/>
                <w:spacing w:val="-7"/>
                <w:szCs w:val="21"/>
                <w:highlight w:val="none"/>
              </w:rPr>
              <w:t>关系单位</w:t>
            </w:r>
          </w:p>
        </w:tc>
        <w:tc>
          <w:tcPr>
            <w:tcW w:w="853" w:type="pct"/>
            <w:vAlign w:val="center"/>
          </w:tcPr>
          <w:p w14:paraId="138CF8B5">
            <w:pPr>
              <w:keepNext w:val="0"/>
              <w:keepLines w:val="0"/>
              <w:pageBreakBefore w:val="0"/>
              <w:widowControl w:val="0"/>
              <w:kinsoku/>
              <w:wordWrap/>
              <w:overflowPunct/>
              <w:topLinePunct w:val="0"/>
              <w:autoSpaceDE/>
              <w:autoSpaceDN/>
              <w:bidi w:val="0"/>
              <w:adjustRightInd/>
              <w:snapToGrid/>
              <w:spacing w:after="0" w:line="240" w:lineRule="auto"/>
              <w:ind w:left="271" w:right="262" w:firstLine="8"/>
              <w:textAlignment w:val="auto"/>
              <w:rPr>
                <w:rFonts w:hint="eastAsia" w:ascii="宋体" w:hAnsi="宋体" w:cs="宋体"/>
                <w:spacing w:val="-5"/>
                <w:szCs w:val="21"/>
                <w:highlight w:val="none"/>
              </w:rPr>
            </w:pPr>
            <w:r>
              <w:rPr>
                <w:rFonts w:hint="eastAsia" w:ascii="宋体" w:hAnsi="宋体" w:cs="宋体"/>
                <w:spacing w:val="-7"/>
                <w:szCs w:val="21"/>
                <w:highlight w:val="none"/>
              </w:rPr>
              <w:t>缴纳社会保险单位</w:t>
            </w:r>
          </w:p>
        </w:tc>
      </w:tr>
      <w:tr w14:paraId="02E2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7" w:type="pct"/>
            <w:vAlign w:val="center"/>
          </w:tcPr>
          <w:p w14:paraId="124C49D4">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vAlign w:val="center"/>
          </w:tcPr>
          <w:p w14:paraId="1DCB16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FF0000"/>
                <w:spacing w:val="-4"/>
                <w:szCs w:val="21"/>
                <w:highlight w:val="none"/>
              </w:rPr>
            </w:pPr>
            <w:bookmarkStart w:id="80" w:name="_Hlk189743651"/>
            <w:r>
              <w:rPr>
                <w:rFonts w:hint="eastAsia" w:ascii="宋体" w:hAnsi="宋体" w:cs="宋体"/>
                <w:b/>
                <w:bCs/>
                <w:color w:val="FF0000"/>
                <w:spacing w:val="-4"/>
                <w:szCs w:val="21"/>
                <w:highlight w:val="none"/>
              </w:rPr>
              <w:t>法定代表人/单位负责人/主要经营负责人</w:t>
            </w:r>
            <w:bookmarkEnd w:id="80"/>
            <w:r>
              <w:rPr>
                <w:rFonts w:hint="eastAsia" w:ascii="宋体" w:hAnsi="宋体" w:cs="宋体"/>
                <w:b/>
                <w:bCs/>
                <w:color w:val="FF0000"/>
                <w:spacing w:val="-4"/>
                <w:szCs w:val="21"/>
                <w:highlight w:val="none"/>
              </w:rPr>
              <w:t>（必填项）</w:t>
            </w:r>
          </w:p>
        </w:tc>
        <w:tc>
          <w:tcPr>
            <w:tcW w:w="562" w:type="pct"/>
            <w:vAlign w:val="center"/>
          </w:tcPr>
          <w:p w14:paraId="4AF824E2">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14:paraId="61066C6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14:paraId="759D4951">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14:paraId="4502349E">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14:paraId="4706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14:paraId="569C1581">
            <w:pPr>
              <w:keepNext w:val="0"/>
              <w:keepLines w:val="0"/>
              <w:pageBreakBefore w:val="0"/>
              <w:widowControl w:val="0"/>
              <w:kinsoku/>
              <w:wordWrap/>
              <w:overflowPunct/>
              <w:topLinePunct w:val="0"/>
              <w:autoSpaceDE/>
              <w:autoSpaceDN/>
              <w:bidi w:val="0"/>
              <w:adjustRightInd/>
              <w:snapToGrid/>
              <w:spacing w:after="0" w:line="240" w:lineRule="auto"/>
              <w:ind w:left="322"/>
              <w:textAlignment w:val="auto"/>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vAlign w:val="center"/>
          </w:tcPr>
          <w:p w14:paraId="2352199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b/>
                <w:bCs/>
                <w:color w:val="FF0000"/>
                <w:spacing w:val="-4"/>
                <w:szCs w:val="21"/>
                <w:highlight w:val="none"/>
              </w:rPr>
            </w:pPr>
            <w:r>
              <w:rPr>
                <w:rFonts w:hint="eastAsia" w:ascii="宋体" w:hAnsi="宋体" w:cs="宋体"/>
                <w:b/>
                <w:bCs/>
                <w:color w:val="FF0000"/>
                <w:spacing w:val="-4"/>
                <w:szCs w:val="21"/>
                <w:highlight w:val="none"/>
              </w:rPr>
              <w:t>项目投标授权代表人（必填项）</w:t>
            </w:r>
          </w:p>
        </w:tc>
        <w:tc>
          <w:tcPr>
            <w:tcW w:w="562" w:type="pct"/>
            <w:vAlign w:val="center"/>
          </w:tcPr>
          <w:p w14:paraId="6F4CB66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14:paraId="6D4E3E4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14:paraId="07A7334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14:paraId="1E6AD88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14:paraId="497A4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14:paraId="3CBD0E9C">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3</w:t>
            </w:r>
          </w:p>
        </w:tc>
        <w:tc>
          <w:tcPr>
            <w:tcW w:w="1235" w:type="pct"/>
            <w:gridSpan w:val="2"/>
            <w:vAlign w:val="center"/>
          </w:tcPr>
          <w:p w14:paraId="100857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spacing w:val="-3"/>
                <w:szCs w:val="21"/>
                <w:highlight w:val="none"/>
              </w:rPr>
              <w:t>项目负责人（如本项目未安排，可不填写）</w:t>
            </w:r>
          </w:p>
        </w:tc>
        <w:tc>
          <w:tcPr>
            <w:tcW w:w="562" w:type="pct"/>
            <w:vAlign w:val="center"/>
          </w:tcPr>
          <w:p w14:paraId="16D4559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14:paraId="31DBEC60">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14:paraId="59C0A708">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14:paraId="2539E515">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14:paraId="234BA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14:paraId="1FB1FC5B">
            <w:pPr>
              <w:keepNext w:val="0"/>
              <w:keepLines w:val="0"/>
              <w:pageBreakBefore w:val="0"/>
              <w:widowControl w:val="0"/>
              <w:kinsoku/>
              <w:wordWrap/>
              <w:overflowPunct/>
              <w:topLinePunct w:val="0"/>
              <w:autoSpaceDE/>
              <w:autoSpaceDN/>
              <w:bidi w:val="0"/>
              <w:adjustRightInd/>
              <w:snapToGrid/>
              <w:spacing w:after="0" w:line="240" w:lineRule="auto"/>
              <w:ind w:left="314"/>
              <w:textAlignment w:val="auto"/>
              <w:rPr>
                <w:rFonts w:hint="eastAsia" w:ascii="宋体" w:hAnsi="宋体" w:cs="宋体"/>
                <w:szCs w:val="21"/>
                <w:highlight w:val="none"/>
                <w:lang w:eastAsia="en-US"/>
              </w:rPr>
            </w:pPr>
            <w:r>
              <w:rPr>
                <w:rFonts w:hint="eastAsia" w:ascii="宋体" w:hAnsi="宋体" w:cs="宋体"/>
                <w:szCs w:val="21"/>
                <w:highlight w:val="none"/>
                <w:lang w:eastAsia="en-US"/>
              </w:rPr>
              <w:t>4</w:t>
            </w:r>
          </w:p>
        </w:tc>
        <w:tc>
          <w:tcPr>
            <w:tcW w:w="1235" w:type="pct"/>
            <w:gridSpan w:val="2"/>
            <w:vAlign w:val="center"/>
          </w:tcPr>
          <w:p w14:paraId="108F292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r>
              <w:rPr>
                <w:rFonts w:hint="eastAsia" w:ascii="宋体" w:hAnsi="宋体" w:cs="宋体"/>
                <w:spacing w:val="-4"/>
                <w:szCs w:val="21"/>
                <w:highlight w:val="none"/>
              </w:rPr>
              <w:t>主要技术人员（如本项目未安排，可不填写）</w:t>
            </w:r>
          </w:p>
        </w:tc>
        <w:tc>
          <w:tcPr>
            <w:tcW w:w="562" w:type="pct"/>
            <w:vAlign w:val="center"/>
          </w:tcPr>
          <w:p w14:paraId="17F50FA6">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14:paraId="67BF813A">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14:paraId="33344C7F">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14:paraId="56C1B6F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14:paraId="79752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14:paraId="2843A5E2">
            <w:pPr>
              <w:keepNext w:val="0"/>
              <w:keepLines w:val="0"/>
              <w:pageBreakBefore w:val="0"/>
              <w:widowControl w:val="0"/>
              <w:kinsoku/>
              <w:wordWrap/>
              <w:overflowPunct/>
              <w:topLinePunct w:val="0"/>
              <w:autoSpaceDE/>
              <w:autoSpaceDN/>
              <w:bidi w:val="0"/>
              <w:adjustRightInd/>
              <w:snapToGrid/>
              <w:spacing w:after="0" w:line="240" w:lineRule="auto"/>
              <w:ind w:left="325"/>
              <w:textAlignment w:val="auto"/>
              <w:rPr>
                <w:rFonts w:hint="eastAsia" w:ascii="宋体" w:hAnsi="宋体" w:cs="宋体"/>
                <w:szCs w:val="21"/>
                <w:highlight w:val="none"/>
                <w:lang w:eastAsia="en-US"/>
              </w:rPr>
            </w:pPr>
            <w:r>
              <w:rPr>
                <w:rFonts w:hint="eastAsia" w:ascii="宋体" w:hAnsi="宋体" w:cs="宋体"/>
                <w:szCs w:val="21"/>
                <w:highlight w:val="none"/>
                <w:lang w:eastAsia="en-US"/>
              </w:rPr>
              <w:t>5</w:t>
            </w:r>
          </w:p>
        </w:tc>
        <w:tc>
          <w:tcPr>
            <w:tcW w:w="1235" w:type="pct"/>
            <w:gridSpan w:val="2"/>
            <w:vAlign w:val="center"/>
          </w:tcPr>
          <w:p w14:paraId="2258902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b/>
                <w:bCs/>
                <w:color w:val="FF0000"/>
                <w:spacing w:val="-4"/>
                <w:szCs w:val="21"/>
                <w:highlight w:val="none"/>
              </w:rPr>
              <w:t>投标文件编制人员（必填项）</w:t>
            </w:r>
          </w:p>
        </w:tc>
        <w:tc>
          <w:tcPr>
            <w:tcW w:w="562" w:type="pct"/>
            <w:vAlign w:val="center"/>
          </w:tcPr>
          <w:p w14:paraId="6D57B87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1106" w:type="pct"/>
            <w:gridSpan w:val="2"/>
            <w:vAlign w:val="center"/>
          </w:tcPr>
          <w:p w14:paraId="7155A43B">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33" w:type="pct"/>
            <w:vAlign w:val="center"/>
          </w:tcPr>
          <w:p w14:paraId="25EB1C8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853" w:type="pct"/>
            <w:vAlign w:val="center"/>
          </w:tcPr>
          <w:p w14:paraId="0CB5ADD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r>
      <w:tr w14:paraId="607D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519920E4">
            <w:pPr>
              <w:keepNext w:val="0"/>
              <w:keepLines w:val="0"/>
              <w:pageBreakBefore w:val="0"/>
              <w:widowControl w:val="0"/>
              <w:kinsoku/>
              <w:wordWrap/>
              <w:overflowPunct/>
              <w:topLinePunct w:val="0"/>
              <w:autoSpaceDE/>
              <w:autoSpaceDN/>
              <w:bidi w:val="0"/>
              <w:adjustRightInd/>
              <w:snapToGrid/>
              <w:spacing w:after="0" w:line="240" w:lineRule="auto"/>
              <w:ind w:left="120"/>
              <w:textAlignment w:val="auto"/>
              <w:rPr>
                <w:rFonts w:hint="eastAsia" w:ascii="宋体" w:hAnsi="宋体" w:cs="宋体"/>
                <w:b/>
                <w:bCs/>
                <w:spacing w:val="-1"/>
                <w:szCs w:val="21"/>
                <w:highlight w:val="none"/>
              </w:rPr>
            </w:pPr>
            <w:r>
              <w:rPr>
                <w:rFonts w:hint="eastAsia" w:ascii="宋体" w:hAnsi="宋体" w:cs="宋体"/>
                <w:b/>
                <w:bCs/>
                <w:spacing w:val="-1"/>
                <w:szCs w:val="21"/>
                <w:highlight w:val="none"/>
              </w:rPr>
              <w:t>说明：</w:t>
            </w:r>
          </w:p>
          <w:p w14:paraId="32B74379">
            <w:pPr>
              <w:keepNext w:val="0"/>
              <w:keepLines w:val="0"/>
              <w:pageBreakBefore w:val="0"/>
              <w:widowControl w:val="0"/>
              <w:kinsoku/>
              <w:wordWrap/>
              <w:overflowPunct/>
              <w:topLinePunct w:val="0"/>
              <w:autoSpaceDE/>
              <w:autoSpaceDN/>
              <w:bidi w:val="0"/>
              <w:adjustRightInd/>
              <w:snapToGrid/>
              <w:spacing w:after="0" w:line="240" w:lineRule="auto"/>
              <w:ind w:left="120"/>
              <w:textAlignment w:val="auto"/>
              <w:rPr>
                <w:rFonts w:hint="eastAsia" w:ascii="宋体" w:hAnsi="宋体" w:cs="宋体"/>
                <w:szCs w:val="21"/>
                <w:highlight w:val="none"/>
              </w:rPr>
            </w:pPr>
            <w:r>
              <w:rPr>
                <w:rFonts w:hint="eastAsia" w:ascii="宋体" w:hAnsi="宋体" w:cs="宋体"/>
                <w:b/>
                <w:bCs/>
                <w:spacing w:val="-1"/>
                <w:szCs w:val="21"/>
                <w:highlight w:val="none"/>
              </w:rPr>
              <w:t>1.同一职务有多人担任（如主要技术人员</w:t>
            </w:r>
            <w:r>
              <w:rPr>
                <w:rFonts w:hint="eastAsia" w:ascii="宋体" w:hAnsi="宋体" w:cs="宋体"/>
                <w:b/>
                <w:bCs/>
                <w:spacing w:val="-42"/>
                <w:w w:val="95"/>
                <w:szCs w:val="21"/>
                <w:highlight w:val="none"/>
              </w:rPr>
              <w:t>），</w:t>
            </w:r>
            <w:r>
              <w:rPr>
                <w:rFonts w:hint="eastAsia" w:ascii="宋体" w:hAnsi="宋体" w:cs="宋体"/>
                <w:b/>
                <w:bCs/>
                <w:spacing w:val="-1"/>
                <w:szCs w:val="21"/>
                <w:highlight w:val="none"/>
              </w:rPr>
              <w:t>应分行填写。</w:t>
            </w:r>
          </w:p>
        </w:tc>
      </w:tr>
      <w:tr w14:paraId="0785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3574BC0">
            <w:pPr>
              <w:keepNext w:val="0"/>
              <w:keepLines w:val="0"/>
              <w:pageBreakBefore w:val="0"/>
              <w:widowControl w:val="0"/>
              <w:kinsoku/>
              <w:wordWrap/>
              <w:overflowPunct/>
              <w:topLinePunct w:val="0"/>
              <w:autoSpaceDE/>
              <w:autoSpaceDN/>
              <w:bidi w:val="0"/>
              <w:adjustRightInd/>
              <w:snapToGrid/>
              <w:spacing w:after="0" w:line="240" w:lineRule="auto"/>
              <w:ind w:left="2683"/>
              <w:textAlignment w:val="auto"/>
              <w:rPr>
                <w:rFonts w:hint="eastAsia" w:ascii="宋体" w:hAnsi="宋体" w:cs="宋体"/>
                <w:szCs w:val="21"/>
                <w:highlight w:val="none"/>
              </w:rPr>
            </w:pPr>
            <w:r>
              <w:rPr>
                <w:rFonts w:hint="eastAsia" w:ascii="宋体" w:hAnsi="宋体" w:cs="宋体"/>
                <w:b/>
                <w:bCs/>
                <w:szCs w:val="21"/>
                <w:highlight w:val="none"/>
              </w:rPr>
              <w:t>投标（响应）供应商关联关系情况</w:t>
            </w:r>
          </w:p>
        </w:tc>
      </w:tr>
      <w:tr w14:paraId="2070F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7" w:type="pct"/>
            <w:vAlign w:val="center"/>
          </w:tcPr>
          <w:p w14:paraId="6586DA08">
            <w:pPr>
              <w:keepNext w:val="0"/>
              <w:keepLines w:val="0"/>
              <w:pageBreakBefore w:val="0"/>
              <w:widowControl w:val="0"/>
              <w:kinsoku/>
              <w:wordWrap/>
              <w:overflowPunct/>
              <w:topLinePunct w:val="0"/>
              <w:autoSpaceDE/>
              <w:autoSpaceDN/>
              <w:bidi w:val="0"/>
              <w:adjustRightInd/>
              <w:snapToGrid/>
              <w:spacing w:after="0" w:line="240" w:lineRule="auto"/>
              <w:ind w:left="145"/>
              <w:textAlignment w:val="auto"/>
              <w:rPr>
                <w:rFonts w:hint="eastAsia" w:ascii="宋体" w:hAnsi="宋体" w:cs="宋体"/>
                <w:szCs w:val="21"/>
                <w:highlight w:val="none"/>
                <w:lang w:eastAsia="en-US"/>
              </w:rPr>
            </w:pPr>
            <w:r>
              <w:rPr>
                <w:rFonts w:hint="eastAsia" w:ascii="宋体" w:hAnsi="宋体" w:cs="宋体"/>
                <w:spacing w:val="-5"/>
                <w:szCs w:val="21"/>
                <w:highlight w:val="none"/>
                <w:lang w:eastAsia="en-US"/>
              </w:rPr>
              <w:t>序号</w:t>
            </w:r>
          </w:p>
        </w:tc>
        <w:tc>
          <w:tcPr>
            <w:tcW w:w="1235" w:type="pct"/>
            <w:gridSpan w:val="2"/>
            <w:vAlign w:val="center"/>
          </w:tcPr>
          <w:p w14:paraId="1CB61EAC">
            <w:pPr>
              <w:keepNext w:val="0"/>
              <w:keepLines w:val="0"/>
              <w:pageBreakBefore w:val="0"/>
              <w:widowControl w:val="0"/>
              <w:kinsoku/>
              <w:wordWrap/>
              <w:overflowPunct/>
              <w:topLinePunct w:val="0"/>
              <w:autoSpaceDE/>
              <w:autoSpaceDN/>
              <w:bidi w:val="0"/>
              <w:adjustRightInd/>
              <w:snapToGrid/>
              <w:spacing w:after="0" w:line="240" w:lineRule="auto"/>
              <w:ind w:left="436"/>
              <w:textAlignment w:val="auto"/>
              <w:rPr>
                <w:rFonts w:hint="eastAsia" w:ascii="宋体" w:hAnsi="宋体" w:cs="宋体"/>
                <w:szCs w:val="21"/>
                <w:highlight w:val="none"/>
                <w:lang w:eastAsia="en-US"/>
              </w:rPr>
            </w:pPr>
            <w:r>
              <w:rPr>
                <w:rFonts w:hint="eastAsia" w:ascii="宋体" w:hAnsi="宋体" w:cs="宋体"/>
                <w:spacing w:val="-3"/>
                <w:szCs w:val="21"/>
                <w:highlight w:val="none"/>
                <w:lang w:eastAsia="en-US"/>
              </w:rPr>
              <w:t>关联关系类型</w:t>
            </w:r>
          </w:p>
        </w:tc>
        <w:tc>
          <w:tcPr>
            <w:tcW w:w="1003" w:type="pct"/>
            <w:gridSpan w:val="2"/>
            <w:vAlign w:val="center"/>
          </w:tcPr>
          <w:p w14:paraId="68EA1E1D">
            <w:pPr>
              <w:keepNext w:val="0"/>
              <w:keepLines w:val="0"/>
              <w:pageBreakBefore w:val="0"/>
              <w:widowControl w:val="0"/>
              <w:kinsoku/>
              <w:wordWrap/>
              <w:overflowPunct/>
              <w:topLinePunct w:val="0"/>
              <w:autoSpaceDE/>
              <w:autoSpaceDN/>
              <w:bidi w:val="0"/>
              <w:adjustRightInd/>
              <w:snapToGrid/>
              <w:spacing w:after="0" w:line="240" w:lineRule="auto"/>
              <w:ind w:left="166"/>
              <w:textAlignment w:val="auto"/>
              <w:rPr>
                <w:rFonts w:hint="eastAsia" w:ascii="宋体" w:hAnsi="宋体" w:cs="宋体"/>
                <w:szCs w:val="21"/>
                <w:highlight w:val="none"/>
                <w:lang w:eastAsia="en-US"/>
              </w:rPr>
            </w:pPr>
            <w:r>
              <w:rPr>
                <w:rFonts w:hint="eastAsia" w:ascii="宋体" w:hAnsi="宋体" w:cs="宋体"/>
                <w:spacing w:val="-3"/>
                <w:szCs w:val="21"/>
                <w:highlight w:val="none"/>
                <w:lang w:eastAsia="en-US"/>
              </w:rPr>
              <w:t>关联主体名称</w:t>
            </w:r>
          </w:p>
        </w:tc>
        <w:tc>
          <w:tcPr>
            <w:tcW w:w="2353" w:type="pct"/>
            <w:gridSpan w:val="3"/>
            <w:vAlign w:val="center"/>
          </w:tcPr>
          <w:p w14:paraId="242EEDE0">
            <w:pPr>
              <w:keepNext w:val="0"/>
              <w:keepLines w:val="0"/>
              <w:pageBreakBefore w:val="0"/>
              <w:widowControl w:val="0"/>
              <w:kinsoku/>
              <w:wordWrap/>
              <w:overflowPunct/>
              <w:topLinePunct w:val="0"/>
              <w:autoSpaceDE/>
              <w:autoSpaceDN/>
              <w:bidi w:val="0"/>
              <w:adjustRightInd/>
              <w:snapToGrid/>
              <w:spacing w:after="0" w:line="240" w:lineRule="auto"/>
              <w:ind w:left="1862"/>
              <w:textAlignment w:val="auto"/>
              <w:rPr>
                <w:rFonts w:hint="eastAsia" w:ascii="宋体" w:hAnsi="宋体" w:cs="宋体"/>
                <w:szCs w:val="21"/>
                <w:highlight w:val="none"/>
                <w:lang w:eastAsia="en-US"/>
              </w:rPr>
            </w:pPr>
            <w:r>
              <w:rPr>
                <w:rFonts w:hint="eastAsia" w:ascii="宋体" w:hAnsi="宋体" w:cs="宋体"/>
                <w:spacing w:val="-4"/>
                <w:szCs w:val="21"/>
                <w:highlight w:val="none"/>
                <w:lang w:eastAsia="en-US"/>
              </w:rPr>
              <w:t>备注</w:t>
            </w:r>
          </w:p>
        </w:tc>
      </w:tr>
      <w:tr w14:paraId="679C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7" w:type="pct"/>
            <w:vAlign w:val="center"/>
          </w:tcPr>
          <w:p w14:paraId="6FDB992E">
            <w:pPr>
              <w:keepNext w:val="0"/>
              <w:keepLines w:val="0"/>
              <w:pageBreakBefore w:val="0"/>
              <w:widowControl w:val="0"/>
              <w:kinsoku/>
              <w:wordWrap/>
              <w:overflowPunct/>
              <w:topLinePunct w:val="0"/>
              <w:autoSpaceDE/>
              <w:autoSpaceDN/>
              <w:bidi w:val="0"/>
              <w:adjustRightInd/>
              <w:snapToGrid/>
              <w:spacing w:after="0" w:line="240" w:lineRule="auto"/>
              <w:ind w:left="321"/>
              <w:textAlignment w:val="auto"/>
              <w:rPr>
                <w:rFonts w:hint="eastAsia" w:ascii="宋体" w:hAnsi="宋体" w:cs="宋体"/>
                <w:szCs w:val="21"/>
                <w:highlight w:val="none"/>
                <w:lang w:eastAsia="en-US"/>
              </w:rPr>
            </w:pPr>
            <w:r>
              <w:rPr>
                <w:rFonts w:hint="eastAsia" w:ascii="宋体" w:hAnsi="宋体" w:cs="宋体"/>
                <w:szCs w:val="21"/>
                <w:highlight w:val="none"/>
                <w:lang w:eastAsia="en-US"/>
              </w:rPr>
              <w:t>1</w:t>
            </w:r>
          </w:p>
        </w:tc>
        <w:tc>
          <w:tcPr>
            <w:tcW w:w="1235" w:type="pct"/>
            <w:gridSpan w:val="2"/>
            <w:vAlign w:val="center"/>
          </w:tcPr>
          <w:p w14:paraId="5BAD41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lang w:eastAsia="en-US"/>
              </w:rPr>
            </w:pPr>
            <w:r>
              <w:rPr>
                <w:rFonts w:hint="eastAsia" w:ascii="宋体" w:hAnsi="宋体" w:cs="宋体"/>
                <w:b/>
                <w:bCs/>
                <w:color w:val="FF0000"/>
                <w:spacing w:val="-4"/>
                <w:szCs w:val="21"/>
                <w:highlight w:val="none"/>
                <w:lang w:eastAsia="en-US"/>
              </w:rPr>
              <w:t>控股股东（必填项）</w:t>
            </w:r>
          </w:p>
        </w:tc>
        <w:tc>
          <w:tcPr>
            <w:tcW w:w="1003" w:type="pct"/>
            <w:gridSpan w:val="2"/>
            <w:vAlign w:val="center"/>
          </w:tcPr>
          <w:p w14:paraId="0B387EF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2353" w:type="pct"/>
            <w:gridSpan w:val="3"/>
            <w:vAlign w:val="center"/>
          </w:tcPr>
          <w:p w14:paraId="2563ACA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r>
              <w:rPr>
                <w:rFonts w:hint="eastAsia" w:ascii="宋体" w:hAnsi="宋体" w:cs="宋体"/>
                <w:spacing w:val="-1"/>
                <w:szCs w:val="21"/>
                <w:highlight w:val="none"/>
              </w:rPr>
              <w:t>指出资额（或持有股份）占投标（响应）供应商资</w:t>
            </w:r>
            <w:r>
              <w:rPr>
                <w:rFonts w:hint="eastAsia" w:ascii="宋体" w:hAnsi="宋体" w:cs="宋体"/>
                <w:spacing w:val="-8"/>
                <w:szCs w:val="21"/>
                <w:highlight w:val="none"/>
              </w:rPr>
              <w:t>本总额（或股本总额）50%以上的股东，以及出资额</w:t>
            </w:r>
            <w:r>
              <w:rPr>
                <w:rFonts w:hint="eastAsia" w:ascii="宋体" w:hAnsi="宋体" w:cs="宋体"/>
                <w:spacing w:val="-5"/>
                <w:szCs w:val="21"/>
                <w:highlight w:val="none"/>
              </w:rPr>
              <w:t>（或持有股份）的比例虽然不足50%，但依</w:t>
            </w:r>
            <w:r>
              <w:rPr>
                <w:rFonts w:hint="eastAsia" w:ascii="宋体" w:hAnsi="宋体" w:cs="宋体"/>
                <w:spacing w:val="-6"/>
                <w:szCs w:val="21"/>
                <w:highlight w:val="none"/>
              </w:rPr>
              <w:t>其出资</w:t>
            </w:r>
            <w:r>
              <w:rPr>
                <w:rFonts w:hint="eastAsia" w:ascii="宋体" w:hAnsi="宋体" w:cs="宋体"/>
                <w:spacing w:val="-9"/>
                <w:szCs w:val="21"/>
                <w:highlight w:val="none"/>
              </w:rPr>
              <w:t>额（或持有股份）所享有的表决权已足以对投标（响</w:t>
            </w:r>
            <w:r>
              <w:rPr>
                <w:rFonts w:hint="eastAsia" w:ascii="宋体" w:hAnsi="宋体" w:cs="宋体"/>
                <w:szCs w:val="21"/>
                <w:highlight w:val="none"/>
              </w:rPr>
              <w:t>应）供应商股东会（或股东大会）的决议产生重要</w:t>
            </w:r>
            <w:r>
              <w:rPr>
                <w:rFonts w:hint="eastAsia" w:ascii="宋体" w:hAnsi="宋体" w:cs="宋体"/>
                <w:spacing w:val="-2"/>
                <w:szCs w:val="21"/>
                <w:highlight w:val="none"/>
              </w:rPr>
              <w:t>影响的股东。</w:t>
            </w:r>
          </w:p>
        </w:tc>
      </w:tr>
      <w:tr w14:paraId="2B565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7" w:type="pct"/>
            <w:vAlign w:val="center"/>
          </w:tcPr>
          <w:p w14:paraId="7D54E700">
            <w:pPr>
              <w:keepNext w:val="0"/>
              <w:keepLines w:val="0"/>
              <w:pageBreakBefore w:val="0"/>
              <w:widowControl w:val="0"/>
              <w:kinsoku/>
              <w:wordWrap/>
              <w:overflowPunct/>
              <w:topLinePunct w:val="0"/>
              <w:autoSpaceDE/>
              <w:autoSpaceDN/>
              <w:bidi w:val="0"/>
              <w:adjustRightInd/>
              <w:snapToGrid/>
              <w:spacing w:after="0" w:line="240" w:lineRule="auto"/>
              <w:ind w:left="322"/>
              <w:textAlignment w:val="auto"/>
              <w:rPr>
                <w:rFonts w:hint="eastAsia" w:ascii="宋体" w:hAnsi="宋体" w:cs="宋体"/>
                <w:szCs w:val="21"/>
                <w:highlight w:val="none"/>
                <w:lang w:eastAsia="en-US"/>
              </w:rPr>
            </w:pPr>
            <w:r>
              <w:rPr>
                <w:rFonts w:hint="eastAsia" w:ascii="宋体" w:hAnsi="宋体" w:cs="宋体"/>
                <w:szCs w:val="21"/>
                <w:highlight w:val="none"/>
                <w:lang w:eastAsia="en-US"/>
              </w:rPr>
              <w:t>2</w:t>
            </w:r>
          </w:p>
        </w:tc>
        <w:tc>
          <w:tcPr>
            <w:tcW w:w="1235" w:type="pct"/>
            <w:gridSpan w:val="2"/>
            <w:vAlign w:val="center"/>
          </w:tcPr>
          <w:p w14:paraId="0F5E69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cs="宋体"/>
                <w:szCs w:val="21"/>
                <w:highlight w:val="none"/>
              </w:rPr>
            </w:pPr>
            <w:r>
              <w:rPr>
                <w:rFonts w:hint="eastAsia" w:ascii="宋体" w:hAnsi="宋体" w:cs="宋体"/>
                <w:spacing w:val="-5"/>
                <w:szCs w:val="21"/>
                <w:highlight w:val="none"/>
              </w:rPr>
              <w:t>管理关系（如无，可不填写）</w:t>
            </w:r>
          </w:p>
        </w:tc>
        <w:tc>
          <w:tcPr>
            <w:tcW w:w="1003" w:type="pct"/>
            <w:gridSpan w:val="2"/>
            <w:vAlign w:val="center"/>
          </w:tcPr>
          <w:p w14:paraId="5FE2F07C">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highlight w:val="none"/>
              </w:rPr>
            </w:pPr>
          </w:p>
        </w:tc>
        <w:tc>
          <w:tcPr>
            <w:tcW w:w="2353" w:type="pct"/>
            <w:gridSpan w:val="3"/>
            <w:vAlign w:val="center"/>
          </w:tcPr>
          <w:p w14:paraId="55612C53">
            <w:pPr>
              <w:keepNext w:val="0"/>
              <w:keepLines w:val="0"/>
              <w:pageBreakBefore w:val="0"/>
              <w:widowControl w:val="0"/>
              <w:kinsoku/>
              <w:wordWrap/>
              <w:overflowPunct/>
              <w:topLinePunct w:val="0"/>
              <w:autoSpaceDE/>
              <w:autoSpaceDN/>
              <w:bidi w:val="0"/>
              <w:adjustRightInd/>
              <w:snapToGrid/>
              <w:spacing w:after="0" w:line="240" w:lineRule="auto"/>
              <w:ind w:right="24"/>
              <w:textAlignment w:val="auto"/>
              <w:rPr>
                <w:rFonts w:hint="eastAsia" w:ascii="宋体" w:hAnsi="宋体" w:cs="宋体"/>
                <w:szCs w:val="21"/>
                <w:highlight w:val="none"/>
              </w:rPr>
            </w:pPr>
            <w:r>
              <w:rPr>
                <w:rFonts w:hint="eastAsia" w:ascii="宋体" w:hAnsi="宋体" w:cs="宋体"/>
                <w:spacing w:val="-8"/>
                <w:szCs w:val="21"/>
                <w:highlight w:val="none"/>
              </w:rPr>
              <w:t>指对投标（响应）供应商不具有出资持</w:t>
            </w:r>
            <w:r>
              <w:rPr>
                <w:rFonts w:hint="eastAsia" w:ascii="宋体" w:hAnsi="宋体" w:cs="宋体"/>
                <w:spacing w:val="-3"/>
                <w:szCs w:val="21"/>
                <w:highlight w:val="none"/>
              </w:rPr>
              <w:t>股关系，但对其存在管理关系的主体。</w:t>
            </w:r>
          </w:p>
        </w:tc>
      </w:tr>
      <w:tr w14:paraId="2B32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000" w:type="pct"/>
            <w:gridSpan w:val="8"/>
            <w:vAlign w:val="center"/>
          </w:tcPr>
          <w:p w14:paraId="4B404419">
            <w:pPr>
              <w:keepNext w:val="0"/>
              <w:keepLines w:val="0"/>
              <w:pageBreakBefore w:val="0"/>
              <w:widowControl w:val="0"/>
              <w:kinsoku/>
              <w:wordWrap/>
              <w:overflowPunct/>
              <w:topLinePunct w:val="0"/>
              <w:autoSpaceDE/>
              <w:autoSpaceDN/>
              <w:bidi w:val="0"/>
              <w:adjustRightInd/>
              <w:snapToGrid/>
              <w:spacing w:after="0" w:line="240" w:lineRule="auto"/>
              <w:ind w:left="119"/>
              <w:textAlignment w:val="auto"/>
              <w:rPr>
                <w:rFonts w:hint="eastAsia" w:ascii="宋体" w:hAnsi="宋体" w:cs="宋体"/>
                <w:szCs w:val="21"/>
                <w:highlight w:val="none"/>
              </w:rPr>
            </w:pPr>
            <w:r>
              <w:rPr>
                <w:rFonts w:hint="eastAsia" w:ascii="宋体" w:hAnsi="宋体" w:cs="宋体"/>
                <w:b/>
                <w:bCs/>
                <w:spacing w:val="-1"/>
                <w:szCs w:val="21"/>
                <w:highlight w:val="none"/>
              </w:rPr>
              <w:t>说明：同一关联关系类型有多个主体的，应分行填写。</w:t>
            </w:r>
          </w:p>
        </w:tc>
      </w:tr>
    </w:tbl>
    <w:p w14:paraId="573651CF">
      <w:pPr>
        <w:spacing w:after="0" w:line="240" w:lineRule="auto"/>
        <w:rPr>
          <w:rFonts w:ascii="Calibri" w:hAnsi="Calibri"/>
          <w:b/>
          <w:bCs/>
          <w:color w:val="FF0000"/>
          <w:sz w:val="24"/>
          <w:szCs w:val="28"/>
          <w:highlight w:val="none"/>
        </w:rPr>
      </w:pPr>
      <w:r>
        <w:rPr>
          <w:rFonts w:hint="eastAsia" w:ascii="Calibri" w:hAnsi="Calibri"/>
          <w:b/>
          <w:bCs/>
          <w:color w:val="FF0000"/>
          <w:sz w:val="24"/>
          <w:szCs w:val="28"/>
          <w:highlight w:val="none"/>
        </w:rPr>
        <w:t>备注：注明“必填项”的必须填写；未注明“必填项”的，如供应商未填写则视为未安排（或无）。</w:t>
      </w:r>
    </w:p>
    <w:p w14:paraId="372079DD">
      <w:pPr>
        <w:widowControl/>
        <w:jc w:val="left"/>
        <w:rPr>
          <w:rFonts w:ascii="Cambria" w:hAnsi="Cambria"/>
          <w:b/>
          <w:bCs/>
          <w:sz w:val="32"/>
          <w:szCs w:val="32"/>
          <w:highlight w:val="none"/>
        </w:rPr>
      </w:pPr>
      <w:r>
        <w:rPr>
          <w:highlight w:val="none"/>
        </w:rPr>
        <w:br w:type="page"/>
      </w:r>
    </w:p>
    <w:p w14:paraId="6736B66C">
      <w:pPr>
        <w:jc w:val="center"/>
        <w:outlineLvl w:val="3"/>
        <w:rPr>
          <w:rFonts w:hint="eastAsia" w:ascii="宋体" w:hAnsi="Times New Roman" w:eastAsia="宋体" w:cs="Times New Roman"/>
          <w:b/>
          <w:sz w:val="32"/>
          <w:szCs w:val="32"/>
          <w:highlight w:val="none"/>
        </w:rPr>
      </w:pPr>
      <w:r>
        <w:rPr>
          <w:rFonts w:hint="eastAsia" w:ascii="宋体" w:cs="Times New Roman"/>
          <w:b/>
          <w:sz w:val="32"/>
          <w:szCs w:val="32"/>
          <w:highlight w:val="none"/>
          <w:lang w:val="en-US" w:eastAsia="zh-CN"/>
        </w:rPr>
        <w:t>四、</w:t>
      </w:r>
      <w:r>
        <w:rPr>
          <w:rFonts w:hint="eastAsia" w:ascii="宋体" w:hAnsi="Times New Roman" w:eastAsia="宋体" w:cs="Times New Roman"/>
          <w:b/>
          <w:sz w:val="32"/>
          <w:szCs w:val="32"/>
          <w:highlight w:val="none"/>
        </w:rPr>
        <w:t>社保缴纳证明材料</w:t>
      </w:r>
    </w:p>
    <w:p w14:paraId="0EA45E84">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rPr>
        <w:t>1.法定代表人/单位负责人/主要经营负责人开标前近一个月社保缴纳证明：</w:t>
      </w:r>
    </w:p>
    <w:p w14:paraId="67BC1965">
      <w:pPr>
        <w:ind w:firstLine="468" w:firstLineChars="200"/>
        <w:jc w:val="left"/>
        <w:rPr>
          <w:rFonts w:hint="eastAsia" w:ascii="宋体" w:hAnsi="宋体" w:cs="宋体"/>
          <w:spacing w:val="-3"/>
          <w:sz w:val="24"/>
          <w:szCs w:val="24"/>
          <w:highlight w:val="none"/>
        </w:rPr>
      </w:pPr>
    </w:p>
    <w:p w14:paraId="1177BD58">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rPr>
        <w:t>2</w:t>
      </w:r>
      <w:r>
        <w:rPr>
          <w:rFonts w:hint="eastAsia" w:ascii="宋体" w:hAnsi="宋体" w:cs="宋体"/>
          <w:spacing w:val="-3"/>
          <w:sz w:val="24"/>
          <w:szCs w:val="24"/>
          <w:highlight w:val="none"/>
          <w:lang w:val="en-US" w:eastAsia="zh-CN"/>
        </w:rPr>
        <w:t>.</w:t>
      </w:r>
      <w:r>
        <w:rPr>
          <w:rFonts w:hint="eastAsia" w:ascii="宋体" w:hAnsi="宋体" w:cs="宋体"/>
          <w:spacing w:val="-3"/>
          <w:sz w:val="24"/>
          <w:szCs w:val="24"/>
          <w:highlight w:val="none"/>
        </w:rPr>
        <w:t>投标授权代表人（如投标授权代表人</w:t>
      </w:r>
      <w:r>
        <w:rPr>
          <w:rFonts w:hint="eastAsia" w:ascii="宋体" w:hAnsi="宋体" w:cs="宋体"/>
          <w:spacing w:val="-3"/>
          <w:sz w:val="24"/>
          <w:szCs w:val="24"/>
          <w:highlight w:val="none"/>
          <w:lang w:val="en-US" w:eastAsia="zh-CN"/>
        </w:rPr>
        <w:t>与法定代表人为同一人的</w:t>
      </w:r>
      <w:r>
        <w:rPr>
          <w:rFonts w:hint="eastAsia" w:ascii="宋体" w:hAnsi="宋体" w:cs="宋体"/>
          <w:spacing w:val="-3"/>
          <w:sz w:val="24"/>
          <w:szCs w:val="24"/>
          <w:highlight w:val="none"/>
        </w:rPr>
        <w:t>，可不</w:t>
      </w:r>
      <w:r>
        <w:rPr>
          <w:rFonts w:hint="eastAsia" w:ascii="宋体" w:hAnsi="宋体" w:cs="宋体"/>
          <w:spacing w:val="-3"/>
          <w:sz w:val="24"/>
          <w:szCs w:val="24"/>
          <w:highlight w:val="none"/>
          <w:lang w:val="en-US" w:eastAsia="zh-CN"/>
        </w:rPr>
        <w:t>重复</w:t>
      </w:r>
      <w:r>
        <w:rPr>
          <w:rFonts w:hint="eastAsia" w:ascii="宋体" w:hAnsi="宋体" w:cs="宋体"/>
          <w:spacing w:val="-3"/>
          <w:sz w:val="24"/>
          <w:szCs w:val="24"/>
          <w:highlight w:val="none"/>
        </w:rPr>
        <w:t>提供）开标前近一个月的社保缴纳证明：</w:t>
      </w:r>
    </w:p>
    <w:p w14:paraId="77F8F500">
      <w:pPr>
        <w:ind w:firstLine="468" w:firstLineChars="200"/>
        <w:jc w:val="left"/>
        <w:rPr>
          <w:rFonts w:hint="eastAsia" w:ascii="宋体" w:hAnsi="宋体" w:cs="宋体"/>
          <w:spacing w:val="-3"/>
          <w:sz w:val="24"/>
          <w:szCs w:val="24"/>
          <w:highlight w:val="none"/>
        </w:rPr>
      </w:pPr>
    </w:p>
    <w:p w14:paraId="1684388C">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3.项</w:t>
      </w:r>
      <w:r>
        <w:rPr>
          <w:rFonts w:hint="eastAsia" w:ascii="宋体" w:hAnsi="宋体" w:cs="宋体"/>
          <w:spacing w:val="-3"/>
          <w:sz w:val="24"/>
          <w:szCs w:val="24"/>
          <w:highlight w:val="none"/>
        </w:rPr>
        <w:t>目负责人（如本项目未安排，可不提供）开标前近一个月的社保缴纳证明：</w:t>
      </w:r>
    </w:p>
    <w:p w14:paraId="76915130">
      <w:pPr>
        <w:pStyle w:val="5"/>
        <w:ind w:firstLine="468" w:firstLineChars="200"/>
        <w:rPr>
          <w:rFonts w:ascii="宋体" w:hAnsi="宋体" w:cs="宋体"/>
          <w:spacing w:val="-3"/>
          <w:sz w:val="24"/>
          <w:szCs w:val="24"/>
          <w:highlight w:val="none"/>
        </w:rPr>
      </w:pPr>
    </w:p>
    <w:p w14:paraId="0E4FA35F">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4.</w:t>
      </w:r>
      <w:r>
        <w:rPr>
          <w:rFonts w:hint="eastAsia" w:ascii="宋体" w:hAnsi="宋体" w:cs="宋体"/>
          <w:spacing w:val="-3"/>
          <w:sz w:val="24"/>
          <w:szCs w:val="24"/>
          <w:highlight w:val="none"/>
        </w:rPr>
        <w:t>主要技术人员（如本项目未安排，可不提供）开标前近一个月的社保缴纳证明：</w:t>
      </w:r>
    </w:p>
    <w:p w14:paraId="5D2FAC20">
      <w:pPr>
        <w:pStyle w:val="5"/>
        <w:ind w:firstLine="468" w:firstLineChars="200"/>
        <w:rPr>
          <w:rFonts w:ascii="宋体" w:hAnsi="宋体" w:cs="宋体"/>
          <w:spacing w:val="-3"/>
          <w:sz w:val="24"/>
          <w:szCs w:val="24"/>
          <w:highlight w:val="none"/>
        </w:rPr>
      </w:pPr>
    </w:p>
    <w:p w14:paraId="6181B6D9">
      <w:pPr>
        <w:ind w:firstLine="468" w:firstLineChars="200"/>
        <w:jc w:val="left"/>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5.</w:t>
      </w:r>
      <w:r>
        <w:rPr>
          <w:rFonts w:hint="eastAsia" w:ascii="宋体" w:hAnsi="宋体" w:cs="宋体"/>
          <w:spacing w:val="-3"/>
          <w:sz w:val="24"/>
          <w:szCs w:val="24"/>
          <w:highlight w:val="none"/>
        </w:rPr>
        <w:t>投标文件编制人员开标前近一个月的社保缴纳证明：</w:t>
      </w:r>
    </w:p>
    <w:p w14:paraId="27CB3339">
      <w:pPr>
        <w:pStyle w:val="5"/>
        <w:ind w:firstLine="468" w:firstLineChars="200"/>
        <w:rPr>
          <w:rFonts w:ascii="宋体" w:hAnsi="宋体" w:cs="宋体"/>
          <w:spacing w:val="-3"/>
          <w:sz w:val="24"/>
          <w:szCs w:val="24"/>
          <w:highlight w:val="none"/>
        </w:rPr>
      </w:pPr>
    </w:p>
    <w:p w14:paraId="76C16228">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注：</w:t>
      </w:r>
    </w:p>
    <w:p w14:paraId="72A3C6A0">
      <w:pPr>
        <w:ind w:firstLine="468" w:firstLineChars="200"/>
        <w:rPr>
          <w:rFonts w:hint="eastAsia" w:ascii="宋体" w:hAnsi="宋体" w:cs="宋体"/>
          <w:spacing w:val="-3"/>
          <w:sz w:val="24"/>
          <w:szCs w:val="24"/>
          <w:highlight w:val="none"/>
        </w:rPr>
      </w:pPr>
      <w:r>
        <w:rPr>
          <w:rFonts w:hint="eastAsia" w:ascii="宋体" w:hAnsi="宋体" w:cs="宋体"/>
          <w:color w:val="FF0000"/>
          <w:spacing w:val="-3"/>
          <w:sz w:val="24"/>
          <w:szCs w:val="24"/>
          <w:highlight w:val="none"/>
        </w:rPr>
        <w:t>1.</w:t>
      </w:r>
      <w:r>
        <w:rPr>
          <w:rFonts w:hint="eastAsia" w:ascii="宋体" w:hAnsi="宋体"/>
          <w:b/>
          <w:bCs/>
          <w:color w:val="FF0000"/>
          <w:sz w:val="24"/>
          <w:szCs w:val="24"/>
          <w:highlight w:val="none"/>
        </w:rPr>
        <w:t>上述社保证明材料对应的人员须与《供应商基本情况表》保持一致</w:t>
      </w:r>
      <w:r>
        <w:rPr>
          <w:rFonts w:hint="eastAsia" w:ascii="宋体" w:hAnsi="宋体" w:cs="宋体"/>
          <w:spacing w:val="-3"/>
          <w:sz w:val="24"/>
          <w:szCs w:val="24"/>
          <w:highlight w:val="none"/>
        </w:rPr>
        <w:t>，请供应商认真填报，并保证所填信息的真实、准确和完整。</w:t>
      </w:r>
    </w:p>
    <w:p w14:paraId="4A8B6649">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2.如开标前近一个月的社保材料因社保部门原因暂时无法取得，则可以往前顺延一个月。</w:t>
      </w:r>
    </w:p>
    <w:p w14:paraId="5BFCC1EF">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3.如无法按上述要求提供人员社会保险证明材料的，提交以下材料亦视为符合：</w:t>
      </w:r>
    </w:p>
    <w:p w14:paraId="41C0AFEB">
      <w:pPr>
        <w:ind w:firstLine="468" w:firstLineChars="200"/>
        <w:rPr>
          <w:rFonts w:hint="eastAsia" w:ascii="宋体" w:hAnsi="宋体" w:cs="宋体"/>
          <w:spacing w:val="-3"/>
          <w:sz w:val="24"/>
          <w:szCs w:val="24"/>
          <w:highlight w:val="none"/>
        </w:rPr>
      </w:pPr>
      <w:r>
        <w:rPr>
          <w:rFonts w:hint="eastAsia" w:ascii="宋体" w:hAnsi="宋体" w:cs="宋体"/>
          <w:spacing w:val="-3"/>
          <w:sz w:val="24"/>
          <w:szCs w:val="24"/>
          <w:highlight w:val="none"/>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14:paraId="50E51D28">
      <w:pPr>
        <w:widowControl/>
        <w:jc w:val="left"/>
        <w:rPr>
          <w:rFonts w:hint="eastAsia" w:ascii="宋体" w:hAnsi="宋体"/>
          <w:b/>
          <w:bCs/>
          <w:highlight w:val="none"/>
        </w:rPr>
      </w:pPr>
      <w:r>
        <w:rPr>
          <w:rFonts w:hint="eastAsia" w:ascii="宋体" w:hAnsi="宋体"/>
          <w:b/>
          <w:bCs/>
          <w:highlight w:val="none"/>
        </w:rPr>
        <w:br w:type="page"/>
      </w:r>
    </w:p>
    <w:p w14:paraId="6AD86303">
      <w:pPr>
        <w:jc w:val="center"/>
        <w:outlineLvl w:val="3"/>
        <w:rPr>
          <w:rFonts w:hint="eastAsia" w:ascii="宋体" w:hAnsi="Times New Roman" w:eastAsia="宋体" w:cs="Times New Roman"/>
          <w:b/>
          <w:sz w:val="32"/>
          <w:szCs w:val="32"/>
          <w:highlight w:val="none"/>
        </w:rPr>
      </w:pPr>
      <w:r>
        <w:rPr>
          <w:rFonts w:hint="eastAsia" w:ascii="宋体" w:cs="Times New Roman"/>
          <w:b/>
          <w:sz w:val="32"/>
          <w:szCs w:val="32"/>
          <w:highlight w:val="none"/>
          <w:lang w:val="en-US" w:eastAsia="zh-CN"/>
        </w:rPr>
        <w:t>五</w:t>
      </w:r>
      <w:r>
        <w:rPr>
          <w:rFonts w:hint="eastAsia" w:ascii="宋体" w:hAnsi="Times New Roman" w:eastAsia="宋体" w:cs="Times New Roman"/>
          <w:b/>
          <w:sz w:val="32"/>
          <w:szCs w:val="32"/>
          <w:highlight w:val="none"/>
          <w:lang w:eastAsia="zh-CN"/>
        </w:rPr>
        <w:t>、</w:t>
      </w:r>
      <w:r>
        <w:rPr>
          <w:rFonts w:hint="eastAsia" w:ascii="宋体" w:hAnsi="Times New Roman" w:eastAsia="宋体" w:cs="Times New Roman"/>
          <w:b/>
          <w:sz w:val="32"/>
          <w:szCs w:val="32"/>
          <w:highlight w:val="none"/>
        </w:rPr>
        <w:t>股权关系证明材料</w:t>
      </w:r>
    </w:p>
    <w:p w14:paraId="6E1F5515">
      <w:pPr>
        <w:pStyle w:val="2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Times New Roman"/>
          <w:b/>
          <w:bCs/>
          <w:color w:val="auto"/>
          <w:kern w:val="2"/>
          <w:sz w:val="28"/>
          <w:szCs w:val="28"/>
          <w:highlight w:val="none"/>
        </w:rPr>
      </w:pPr>
      <w:r>
        <w:rPr>
          <w:rFonts w:hint="eastAsia" w:ascii="宋体" w:hAnsi="宋体" w:eastAsia="宋体" w:cs="Times New Roman"/>
          <w:b/>
          <w:bCs/>
          <w:color w:val="auto"/>
          <w:kern w:val="2"/>
          <w:sz w:val="28"/>
          <w:szCs w:val="28"/>
          <w:highlight w:val="none"/>
          <w:lang w:val="en-US" w:eastAsia="zh-CN"/>
        </w:rPr>
        <w:t>1</w:t>
      </w:r>
      <w:r>
        <w:rPr>
          <w:rFonts w:hint="eastAsia" w:ascii="宋体" w:hAnsi="宋体" w:cs="Times New Roman"/>
          <w:b/>
          <w:bCs/>
          <w:color w:val="auto"/>
          <w:kern w:val="2"/>
          <w:sz w:val="28"/>
          <w:szCs w:val="28"/>
          <w:highlight w:val="none"/>
          <w:lang w:val="en-US" w:eastAsia="zh-CN"/>
        </w:rPr>
        <w:t>.</w:t>
      </w:r>
      <w:r>
        <w:rPr>
          <w:rFonts w:hint="eastAsia" w:ascii="宋体" w:hAnsi="宋体" w:eastAsia="宋体" w:cs="Times New Roman"/>
          <w:b/>
          <w:bCs/>
          <w:color w:val="auto"/>
          <w:kern w:val="2"/>
          <w:sz w:val="28"/>
          <w:szCs w:val="28"/>
          <w:highlight w:val="none"/>
        </w:rPr>
        <w:t>股权关系证明截图</w:t>
      </w:r>
    </w:p>
    <w:p w14:paraId="070031CC">
      <w:pPr>
        <w:keepNext w:val="0"/>
        <w:keepLines w:val="0"/>
        <w:pageBreakBefore w:val="0"/>
        <w:widowControl w:val="0"/>
        <w:kinsoku/>
        <w:wordWrap/>
        <w:overflowPunct/>
        <w:topLinePunct w:val="0"/>
        <w:bidi w:val="0"/>
        <w:spacing w:line="360" w:lineRule="auto"/>
        <w:ind w:firstLine="468" w:firstLineChars="200"/>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通过国家企业信用信息公示系统(https://www.gsxt.gov.cn/index.html）、或机关赋码和事业单位登记管理网（http://gjsy.gov.cn/sydwfrxxcx/)、或全国社会组织信用信息公示平台（https://xxgs.chinanpo.mca.gov.cn/gsxt/newList等网站查询的股权关系截图）</w:t>
      </w:r>
    </w:p>
    <w:p w14:paraId="0B7990E7">
      <w:pPr>
        <w:keepNext w:val="0"/>
        <w:keepLines w:val="0"/>
        <w:pageBreakBefore w:val="0"/>
        <w:widowControl w:val="0"/>
        <w:kinsoku/>
        <w:wordWrap/>
        <w:overflowPunct/>
        <w:topLinePunct w:val="0"/>
        <w:bidi w:val="0"/>
        <w:spacing w:line="360" w:lineRule="auto"/>
        <w:ind w:firstLine="482" w:firstLineChars="200"/>
        <w:jc w:val="left"/>
        <w:textAlignment w:val="auto"/>
        <w:rPr>
          <w:rFonts w:hint="eastAsia" w:ascii="方正仿宋_GBK" w:hAnsi="方正仿宋_GBK" w:eastAsia="方正仿宋_GBK" w:cs="方正仿宋_GBK"/>
          <w:sz w:val="24"/>
          <w:szCs w:val="24"/>
          <w:highlight w:val="none"/>
        </w:rPr>
      </w:pPr>
      <w:r>
        <w:rPr>
          <w:rFonts w:hint="eastAsia" w:ascii="宋体" w:hAnsi="宋体"/>
          <w:b/>
          <w:bCs/>
          <w:sz w:val="24"/>
          <w:szCs w:val="24"/>
          <w:highlight w:val="none"/>
        </w:rPr>
        <w:t>注：上述股权关系证明截图对应的信息须与《供应商基本情况表》保持一致。</w:t>
      </w:r>
    </w:p>
    <w:p w14:paraId="3CA9A791">
      <w:pPr>
        <w:pStyle w:val="22"/>
        <w:keepNext w:val="0"/>
        <w:keepLines w:val="0"/>
        <w:pageBreakBefore w:val="0"/>
        <w:widowControl w:val="0"/>
        <w:kinsoku/>
        <w:wordWrap/>
        <w:overflowPunct/>
        <w:topLinePunct w:val="0"/>
        <w:bidi w:val="0"/>
        <w:spacing w:line="360" w:lineRule="auto"/>
        <w:ind w:firstLine="482" w:firstLineChars="200"/>
        <w:textAlignment w:val="auto"/>
        <w:rPr>
          <w:rFonts w:ascii="宋体" w:hAnsi="宋体" w:eastAsia="宋体" w:cs="Times New Roman"/>
          <w:b/>
          <w:bCs/>
          <w:color w:val="auto"/>
          <w:kern w:val="2"/>
          <w:sz w:val="24"/>
          <w:szCs w:val="24"/>
          <w:highlight w:val="none"/>
        </w:rPr>
      </w:pPr>
    </w:p>
    <w:p w14:paraId="5C534152">
      <w:pPr>
        <w:pStyle w:val="22"/>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Times New Roman"/>
          <w:b/>
          <w:bCs/>
          <w:color w:val="auto"/>
          <w:kern w:val="2"/>
          <w:sz w:val="28"/>
          <w:szCs w:val="28"/>
          <w:highlight w:val="none"/>
          <w:lang w:val="en-US" w:eastAsia="zh-CN"/>
        </w:rPr>
      </w:pPr>
      <w:r>
        <w:rPr>
          <w:rFonts w:hint="eastAsia" w:ascii="宋体" w:hAnsi="宋体" w:eastAsia="宋体" w:cs="Times New Roman"/>
          <w:b/>
          <w:bCs/>
          <w:color w:val="auto"/>
          <w:kern w:val="2"/>
          <w:sz w:val="28"/>
          <w:szCs w:val="28"/>
          <w:highlight w:val="none"/>
          <w:lang w:val="en-US" w:eastAsia="zh-CN"/>
        </w:rPr>
        <w:t>2.承诺函</w:t>
      </w:r>
    </w:p>
    <w:p w14:paraId="42E6A082">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致：采购人</w:t>
      </w:r>
    </w:p>
    <w:p w14:paraId="78313F91">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我公司申请参加</w:t>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rPr>
        <w:t>项目（此处填写项目名称），项目编号为</w:t>
      </w:r>
      <w:r>
        <w:rPr>
          <w:rFonts w:hint="eastAsia" w:ascii="宋体" w:hAnsi="宋体" w:cs="宋体"/>
          <w:spacing w:val="-3"/>
          <w:sz w:val="24"/>
          <w:szCs w:val="24"/>
          <w:highlight w:val="none"/>
          <w:u w:val="single"/>
        </w:rPr>
        <w:tab/>
      </w:r>
      <w:r>
        <w:rPr>
          <w:rFonts w:hint="eastAsia" w:ascii="宋体" w:hAnsi="宋体" w:cs="宋体"/>
          <w:spacing w:val="-3"/>
          <w:sz w:val="24"/>
          <w:szCs w:val="24"/>
          <w:highlight w:val="none"/>
        </w:rPr>
        <w:t>（此处填写项目编号）的项目</w:t>
      </w:r>
      <w:r>
        <w:rPr>
          <w:rFonts w:hint="eastAsia" w:ascii="宋体" w:hAnsi="宋体" w:cs="宋体"/>
          <w:spacing w:val="-3"/>
          <w:sz w:val="24"/>
          <w:szCs w:val="24"/>
          <w:highlight w:val="none"/>
          <w:lang w:val="en-US" w:eastAsia="zh-CN"/>
        </w:rPr>
        <w:t>采购活动</w:t>
      </w:r>
      <w:r>
        <w:rPr>
          <w:rFonts w:hint="eastAsia" w:ascii="宋体" w:hAnsi="宋体" w:cs="宋体"/>
          <w:spacing w:val="-3"/>
          <w:sz w:val="24"/>
          <w:szCs w:val="24"/>
          <w:highlight w:val="none"/>
        </w:rPr>
        <w:t>，并作出如下承诺：</w:t>
      </w:r>
    </w:p>
    <w:p w14:paraId="5387BDDA">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lang w:val="en-US" w:eastAsia="zh-CN"/>
        </w:rPr>
        <w:t>（1）</w:t>
      </w:r>
      <w:r>
        <w:rPr>
          <w:rFonts w:hint="eastAsia" w:ascii="宋体" w:hAnsi="宋体" w:cs="宋体"/>
          <w:spacing w:val="-3"/>
          <w:sz w:val="24"/>
          <w:szCs w:val="24"/>
          <w:highlight w:val="none"/>
        </w:rPr>
        <w:t>我公司承诺所填的股权关系情况真实、准确、完整。</w:t>
      </w:r>
    </w:p>
    <w:p w14:paraId="2F3B60DA">
      <w:pPr>
        <w:keepNext w:val="0"/>
        <w:keepLines w:val="0"/>
        <w:pageBreakBefore w:val="0"/>
        <w:widowControl w:val="0"/>
        <w:kinsoku/>
        <w:wordWrap/>
        <w:overflowPunct/>
        <w:topLinePunct w:val="0"/>
        <w:bidi w:val="0"/>
        <w:adjustRightInd w:val="0"/>
        <w:snapToGrid w:val="0"/>
        <w:spacing w:after="160" w:line="360" w:lineRule="auto"/>
        <w:ind w:firstLine="468" w:firstLineChars="200"/>
        <w:jc w:val="left"/>
        <w:textAlignment w:val="auto"/>
        <w:rPr>
          <w:rFonts w:hint="eastAsia" w:ascii="宋体" w:hAnsi="宋体" w:eastAsia="宋体" w:cs="宋体"/>
          <w:spacing w:val="-3"/>
          <w:sz w:val="24"/>
          <w:szCs w:val="24"/>
          <w:highlight w:val="none"/>
        </w:rPr>
      </w:pPr>
      <w:r>
        <w:rPr>
          <w:rFonts w:hint="eastAsia" w:ascii="宋体" w:hAnsi="宋体" w:cs="宋体"/>
          <w:spacing w:val="-3"/>
          <w:sz w:val="24"/>
          <w:szCs w:val="24"/>
          <w:highlight w:val="none"/>
          <w:lang w:eastAsia="zh-CN"/>
        </w:rPr>
        <w:t>（</w:t>
      </w:r>
      <w:r>
        <w:rPr>
          <w:rFonts w:hint="eastAsia" w:ascii="宋体" w:hAnsi="宋体" w:cs="宋体"/>
          <w:spacing w:val="-3"/>
          <w:sz w:val="24"/>
          <w:szCs w:val="24"/>
          <w:highlight w:val="none"/>
          <w:lang w:val="en-US" w:eastAsia="zh-CN"/>
        </w:rPr>
        <w:t>2</w:t>
      </w:r>
      <w:r>
        <w:rPr>
          <w:rFonts w:hint="eastAsia" w:ascii="宋体" w:hAnsi="宋体" w:cs="宋体"/>
          <w:spacing w:val="-3"/>
          <w:sz w:val="24"/>
          <w:szCs w:val="24"/>
          <w:highlight w:val="none"/>
          <w:lang w:eastAsia="zh-CN"/>
        </w:rPr>
        <w:t>）</w:t>
      </w:r>
      <w:r>
        <w:rPr>
          <w:rFonts w:hint="eastAsia" w:ascii="宋体" w:hAnsi="宋体" w:eastAsia="宋体" w:cs="宋体"/>
          <w:spacing w:val="-3"/>
          <w:sz w:val="24"/>
          <w:szCs w:val="24"/>
          <w:highlight w:val="none"/>
        </w:rPr>
        <w:t>我公司承诺自股权</w:t>
      </w:r>
      <w:r>
        <w:rPr>
          <w:rFonts w:hint="eastAsia" w:ascii="宋体" w:hAnsi="宋体" w:eastAsia="宋体" w:cs="宋体"/>
          <w:spacing w:val="-3"/>
          <w:sz w:val="24"/>
          <w:szCs w:val="24"/>
          <w:highlight w:val="none"/>
          <w:lang w:eastAsia="zh-CN"/>
        </w:rPr>
        <w:t>或管理</w:t>
      </w:r>
      <w:r>
        <w:rPr>
          <w:rFonts w:hint="eastAsia" w:ascii="宋体" w:hAnsi="宋体" w:eastAsia="宋体" w:cs="宋体"/>
          <w:spacing w:val="-3"/>
          <w:sz w:val="24"/>
          <w:szCs w:val="24"/>
          <w:highlight w:val="none"/>
        </w:rPr>
        <w:t>关系证明材料查询之日起至本项目投标截止日止，股权关系不会发生变更</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rPr>
        <w:t>如发生变更，将在投标文件中另行申明并附证明材料，保证不出现违背《中华人民共和国政府采购法实施条例》第十八条规定的情形。否则，自愿承担因此产生的不利后果而无异议。</w:t>
      </w:r>
    </w:p>
    <w:p w14:paraId="40FEA11A">
      <w:pPr>
        <w:keepNext w:val="0"/>
        <w:keepLines w:val="0"/>
        <w:pageBreakBefore w:val="0"/>
        <w:widowControl w:val="0"/>
        <w:kinsoku/>
        <w:wordWrap/>
        <w:overflowPunct/>
        <w:topLinePunct w:val="0"/>
        <w:bidi w:val="0"/>
        <w:spacing w:line="360" w:lineRule="auto"/>
        <w:ind w:firstLine="468" w:firstLineChars="200"/>
        <w:jc w:val="left"/>
        <w:textAlignment w:val="auto"/>
        <w:rPr>
          <w:rFonts w:hint="eastAsia" w:ascii="宋体" w:hAnsi="宋体" w:cs="宋体"/>
          <w:spacing w:val="-3"/>
          <w:sz w:val="24"/>
          <w:szCs w:val="24"/>
          <w:highlight w:val="none"/>
        </w:rPr>
      </w:pPr>
      <w:r>
        <w:rPr>
          <w:rFonts w:hint="eastAsia" w:ascii="宋体" w:hAnsi="宋体" w:cs="宋体"/>
          <w:spacing w:val="-3"/>
          <w:sz w:val="24"/>
          <w:szCs w:val="24"/>
          <w:highlight w:val="none"/>
        </w:rPr>
        <w:t>特此承诺！</w:t>
      </w:r>
    </w:p>
    <w:p w14:paraId="7B1958D3">
      <w:pPr>
        <w:keepNext w:val="0"/>
        <w:keepLines w:val="0"/>
        <w:pageBreakBefore w:val="0"/>
        <w:widowControl w:val="0"/>
        <w:kinsoku/>
        <w:wordWrap/>
        <w:overflowPunct/>
        <w:topLinePunct w:val="0"/>
        <w:bidi w:val="0"/>
        <w:spacing w:line="360" w:lineRule="auto"/>
        <w:jc w:val="left"/>
        <w:textAlignment w:val="auto"/>
        <w:rPr>
          <w:rFonts w:hint="eastAsia" w:ascii="宋体" w:hAnsi="宋体" w:cs="宋体"/>
          <w:spacing w:val="-3"/>
          <w:sz w:val="24"/>
          <w:szCs w:val="24"/>
          <w:highlight w:val="none"/>
        </w:rPr>
      </w:pPr>
    </w:p>
    <w:p w14:paraId="0DE1589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pacing w:val="-3"/>
          <w:sz w:val="24"/>
          <w:szCs w:val="24"/>
          <w:highlight w:val="none"/>
          <w:lang w:eastAsia="zh-CN"/>
        </w:rPr>
      </w:pPr>
      <w:r>
        <w:rPr>
          <w:rFonts w:hint="eastAsia" w:ascii="宋体" w:hAnsi="宋体" w:cs="宋体"/>
          <w:spacing w:val="-3"/>
          <w:sz w:val="24"/>
          <w:szCs w:val="24"/>
          <w:highlight w:val="none"/>
        </w:rPr>
        <w:t>供应商名称：</w:t>
      </w:r>
    </w:p>
    <w:p w14:paraId="30451B54">
      <w:pPr>
        <w:keepNext w:val="0"/>
        <w:keepLines w:val="0"/>
        <w:pageBreakBefore w:val="0"/>
        <w:widowControl w:val="0"/>
        <w:kinsoku/>
        <w:wordWrap/>
        <w:overflowPunct/>
        <w:topLinePunct w:val="0"/>
        <w:autoSpaceDE w:val="0"/>
        <w:autoSpaceDN w:val="0"/>
        <w:bidi w:val="0"/>
        <w:adjustRightInd w:val="0"/>
        <w:spacing w:line="360" w:lineRule="auto"/>
        <w:ind w:left="5040" w:leftChars="0" w:firstLine="420" w:firstLineChars="0"/>
        <w:jc w:val="center"/>
        <w:textAlignment w:val="auto"/>
        <w:outlineLvl w:val="9"/>
        <w:rPr>
          <w:rFonts w:hint="eastAsia" w:ascii="宋体" w:hAnsi="宋体" w:cs="宋体"/>
          <w:spacing w:val="-3"/>
          <w:sz w:val="24"/>
          <w:szCs w:val="24"/>
          <w:highlight w:val="none"/>
        </w:rPr>
      </w:pPr>
      <w:r>
        <w:rPr>
          <w:rFonts w:hint="eastAsia" w:ascii="宋体" w:hAnsi="宋体" w:cs="宋体"/>
          <w:spacing w:val="-3"/>
          <w:sz w:val="24"/>
          <w:szCs w:val="24"/>
          <w:highlight w:val="none"/>
        </w:rPr>
        <w:t>日期：年月日</w:t>
      </w:r>
    </w:p>
    <w:p w14:paraId="53FD8B49">
      <w:pPr>
        <w:spacing w:line="360" w:lineRule="auto"/>
        <w:jc w:val="center"/>
        <w:outlineLvl w:val="3"/>
        <w:rPr>
          <w:rFonts w:hint="eastAsia" w:ascii="宋体" w:hAnsi="宋体" w:cs="仿宋_GB2312"/>
          <w:kern w:val="0"/>
          <w:sz w:val="28"/>
          <w:szCs w:val="28"/>
        </w:rPr>
      </w:pPr>
      <w:r>
        <w:rPr>
          <w:rFonts w:hint="eastAsia" w:ascii="宋体"/>
          <w:b/>
          <w:sz w:val="32"/>
          <w:szCs w:val="32"/>
        </w:rPr>
        <w:br w:type="page"/>
      </w:r>
      <w:r>
        <w:rPr>
          <w:rFonts w:hint="eastAsia" w:ascii="宋体"/>
          <w:b/>
          <w:sz w:val="32"/>
          <w:szCs w:val="32"/>
          <w:lang w:val="en-US" w:eastAsia="zh-CN"/>
        </w:rPr>
        <w:t>六</w:t>
      </w:r>
      <w:r>
        <w:rPr>
          <w:rFonts w:hint="eastAsia" w:ascii="宋体"/>
          <w:b/>
          <w:sz w:val="32"/>
          <w:szCs w:val="32"/>
        </w:rPr>
        <w:t>、政府采购违法行为风险知悉确认书</w:t>
      </w:r>
    </w:p>
    <w:p w14:paraId="335F6D1B">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B2A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71E8B7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7ABE8B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43E5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2898F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1FE840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2246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76012C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4572D71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7C57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387F6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2B1593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7540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D682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72225F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5E2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276D6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7F659A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F63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7D5D6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5DAB71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4BCEF996">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38E8A02A">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A8EA136">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44D07F53">
      <w:pPr>
        <w:spacing w:beforeLines="0" w:line="380" w:lineRule="exact"/>
        <w:ind w:firstLine="420" w:firstLineChars="200"/>
        <w:rPr>
          <w:color w:val="auto"/>
        </w:rPr>
      </w:pPr>
      <w:r>
        <w:rPr>
          <w:rFonts w:hint="eastAsia"/>
          <w:color w:val="auto"/>
        </w:rPr>
        <w:t>（三）项目负责人或者主要技术人员不是本单位人员的。</w:t>
      </w:r>
    </w:p>
    <w:p w14:paraId="207DBD66">
      <w:pPr>
        <w:spacing w:beforeLines="0" w:line="380" w:lineRule="exact"/>
        <w:ind w:firstLine="420" w:firstLineChars="200"/>
        <w:rPr>
          <w:color w:val="auto"/>
        </w:rPr>
      </w:pPr>
      <w:r>
        <w:rPr>
          <w:rFonts w:hint="eastAsia"/>
          <w:color w:val="auto"/>
        </w:rPr>
        <w:t>（四）投标保证金不是从投标供应商基本账户转出的。</w:t>
      </w:r>
    </w:p>
    <w:p w14:paraId="321A7DAD">
      <w:pPr>
        <w:spacing w:beforeLines="0" w:line="380" w:lineRule="exact"/>
        <w:ind w:firstLine="420" w:firstLineChars="200"/>
        <w:rPr>
          <w:color w:val="auto"/>
        </w:rPr>
      </w:pPr>
      <w:r>
        <w:rPr>
          <w:rFonts w:hint="eastAsia"/>
          <w:color w:val="auto"/>
        </w:rPr>
        <w:t>（五）其他隐瞒真实情况、提供虚假资料的行为。</w:t>
      </w:r>
    </w:p>
    <w:p w14:paraId="046CACA6">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11EBCEFE">
      <w:pPr>
        <w:spacing w:beforeLines="0" w:line="380" w:lineRule="exact"/>
        <w:ind w:firstLine="420" w:firstLineChars="200"/>
        <w:rPr>
          <w:color w:val="auto"/>
        </w:rPr>
      </w:pPr>
      <w:r>
        <w:rPr>
          <w:rFonts w:hint="eastAsia"/>
          <w:color w:val="auto"/>
        </w:rPr>
        <w:t>（一）投标供应商之间相互约定给予未中标的供应商利益补偿。</w:t>
      </w:r>
    </w:p>
    <w:p w14:paraId="1A572273">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82E24E6">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166F5C9F">
      <w:pPr>
        <w:spacing w:beforeLines="0" w:line="340" w:lineRule="exact"/>
        <w:ind w:firstLine="420" w:firstLineChars="200"/>
        <w:rPr>
          <w:color w:val="auto"/>
        </w:rPr>
      </w:pPr>
      <w:r>
        <w:rPr>
          <w:rFonts w:hint="eastAsia"/>
          <w:color w:val="auto"/>
        </w:rPr>
        <w:t>（四）不同投标供应商的投标文件或部分投标文件相互混装。</w:t>
      </w:r>
    </w:p>
    <w:p w14:paraId="4A203C97">
      <w:pPr>
        <w:spacing w:beforeLines="0" w:line="340" w:lineRule="exact"/>
        <w:ind w:firstLine="420" w:firstLineChars="200"/>
        <w:rPr>
          <w:color w:val="auto"/>
        </w:rPr>
      </w:pPr>
      <w:r>
        <w:rPr>
          <w:rFonts w:hint="eastAsia"/>
          <w:color w:val="auto"/>
        </w:rPr>
        <w:t>（五）不同投标供应商的投标文件内容存在非正常一致。</w:t>
      </w:r>
    </w:p>
    <w:p w14:paraId="5CF8F12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3F68B7A">
      <w:pPr>
        <w:spacing w:beforeLines="0" w:line="340" w:lineRule="exact"/>
        <w:ind w:firstLine="420" w:firstLineChars="200"/>
        <w:rPr>
          <w:color w:val="auto"/>
        </w:rPr>
      </w:pPr>
      <w:r>
        <w:rPr>
          <w:rFonts w:hint="eastAsia"/>
          <w:color w:val="auto"/>
        </w:rPr>
        <w:t>（七）不同投标人的投标报价呈规律性差异。</w:t>
      </w:r>
    </w:p>
    <w:p w14:paraId="4C61EB7F">
      <w:pPr>
        <w:spacing w:beforeLines="0" w:line="340" w:lineRule="exact"/>
        <w:ind w:firstLine="420" w:firstLineChars="200"/>
        <w:rPr>
          <w:color w:val="auto"/>
        </w:rPr>
      </w:pPr>
      <w:r>
        <w:rPr>
          <w:rFonts w:hint="eastAsia"/>
          <w:color w:val="auto"/>
        </w:rPr>
        <w:t>（八）不同投标人的投标保证金从同一单位或者个人的账户转出。</w:t>
      </w:r>
    </w:p>
    <w:p w14:paraId="26387D62">
      <w:pPr>
        <w:spacing w:beforeLines="0" w:line="340" w:lineRule="exact"/>
        <w:ind w:firstLine="420" w:firstLineChars="200"/>
        <w:rPr>
          <w:color w:val="auto"/>
        </w:rPr>
      </w:pPr>
      <w:r>
        <w:rPr>
          <w:rFonts w:hint="eastAsia"/>
          <w:color w:val="auto"/>
        </w:rPr>
        <w:t>（九）主管部门依照法律、法规认定的其他情形。</w:t>
      </w:r>
    </w:p>
    <w:p w14:paraId="756649C6">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077311D6">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1126DB02">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143B59C5">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637DC6DF">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136AF784">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28485917">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24"/>
        <w:tblW w:w="9071"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71"/>
      </w:tblGrid>
      <w:tr w14:paraId="4355AA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nil"/>
              <w:left w:val="nil"/>
              <w:bottom w:val="single" w:color="000000" w:sz="8" w:space="0"/>
              <w:right w:val="nil"/>
            </w:tcBorders>
            <w:noWrap w:val="0"/>
            <w:vAlign w:val="top"/>
          </w:tcPr>
          <w:p w14:paraId="622E10D1">
            <w:pPr>
              <w:autoSpaceDE w:val="0"/>
              <w:autoSpaceDN w:val="0"/>
              <w:spacing w:beforeLines="0" w:line="340" w:lineRule="exact"/>
              <w:ind w:firstLine="1866"/>
              <w:rPr>
                <w:rFonts w:ascii="宋体" w:hAnsi="宋体" w:eastAsia="宋体"/>
                <w:color w:val="auto"/>
                <w:spacing w:val="-4"/>
                <w:kern w:val="0"/>
                <w:szCs w:val="21"/>
                <w:highlight w:val="none"/>
              </w:rPr>
            </w:pPr>
          </w:p>
        </w:tc>
      </w:tr>
      <w:tr w14:paraId="3D9201F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14:paraId="5FC25DB4">
            <w:pPr>
              <w:autoSpaceDE w:val="0"/>
              <w:autoSpaceDN w:val="0"/>
              <w:spacing w:beforeLines="0" w:line="340" w:lineRule="exact"/>
              <w:ind w:firstLine="1866"/>
              <w:rPr>
                <w:rFonts w:ascii="宋体" w:hAnsi="宋体" w:eastAsia="宋体"/>
                <w:color w:val="auto"/>
                <w:spacing w:val="-4"/>
                <w:kern w:val="0"/>
                <w:szCs w:val="21"/>
              </w:rPr>
            </w:pPr>
          </w:p>
        </w:tc>
      </w:tr>
      <w:tr w14:paraId="4DC4383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000000" w:sz="8" w:space="0"/>
              <w:right w:val="nil"/>
            </w:tcBorders>
            <w:noWrap w:val="0"/>
            <w:vAlign w:val="top"/>
          </w:tcPr>
          <w:p w14:paraId="427EF229">
            <w:pPr>
              <w:autoSpaceDE w:val="0"/>
              <w:autoSpaceDN w:val="0"/>
              <w:spacing w:beforeLines="0" w:line="340" w:lineRule="exact"/>
              <w:ind w:firstLine="1866"/>
              <w:rPr>
                <w:rFonts w:ascii="宋体" w:hAnsi="宋体" w:eastAsia="宋体"/>
                <w:color w:val="auto"/>
                <w:spacing w:val="-4"/>
                <w:kern w:val="0"/>
                <w:szCs w:val="21"/>
              </w:rPr>
            </w:pPr>
          </w:p>
        </w:tc>
      </w:tr>
      <w:tr w14:paraId="6FFF8EB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529" w:type="dxa"/>
            <w:tcBorders>
              <w:top w:val="single" w:color="000000" w:sz="8" w:space="0"/>
              <w:left w:val="nil"/>
              <w:bottom w:val="single" w:color="auto" w:sz="8" w:space="0"/>
              <w:right w:val="nil"/>
            </w:tcBorders>
            <w:noWrap w:val="0"/>
            <w:vAlign w:val="top"/>
          </w:tcPr>
          <w:p w14:paraId="13C7BF52">
            <w:pPr>
              <w:autoSpaceDE w:val="0"/>
              <w:autoSpaceDN w:val="0"/>
              <w:spacing w:beforeLines="0" w:line="340" w:lineRule="exact"/>
              <w:ind w:firstLine="1866"/>
              <w:rPr>
                <w:rFonts w:ascii="宋体" w:hAnsi="宋体" w:eastAsia="宋体"/>
                <w:color w:val="auto"/>
                <w:spacing w:val="-4"/>
                <w:kern w:val="0"/>
                <w:szCs w:val="21"/>
              </w:rPr>
            </w:pPr>
          </w:p>
        </w:tc>
      </w:tr>
    </w:tbl>
    <w:p w14:paraId="48CA46FF">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7A55E9BC">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u w:val="single"/>
          <w:lang w:eastAsia="zh-CN"/>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p>
    <w:p w14:paraId="6C3254F6">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3EA01849">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u w:val="single"/>
          <w:lang w:eastAsia="zh-CN"/>
        </w:rPr>
      </w:pPr>
      <w:r>
        <w:rPr>
          <w:rFonts w:hint="eastAsia" w:ascii="宋体" w:hAnsi="宋体" w:eastAsia="宋体"/>
          <w:color w:val="auto"/>
          <w:spacing w:val="-4"/>
          <w:kern w:val="0"/>
          <w:szCs w:val="21"/>
        </w:rPr>
        <w:t>日期：</w:t>
      </w:r>
    </w:p>
    <w:p w14:paraId="1412C9E4">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2353341F">
      <w:pPr>
        <w:autoSpaceDE w:val="0"/>
        <w:autoSpaceDN w:val="0"/>
        <w:adjustRightInd w:val="0"/>
        <w:jc w:val="left"/>
        <w:rPr>
          <w:rFonts w:hint="eastAsia" w:ascii="宋体" w:hAnsi="宋体" w:eastAsia="宋体"/>
          <w:szCs w:val="21"/>
          <w:lang w:eastAsia="zh-CN"/>
        </w:rPr>
      </w:pPr>
      <w:r>
        <w:rPr>
          <w:rFonts w:hint="eastAsia" w:ascii="宋体" w:hAnsi="宋体" w:eastAsia="宋体"/>
          <w:b/>
          <w:bCs/>
          <w:color w:val="auto"/>
          <w:spacing w:val="-4"/>
          <w:kern w:val="0"/>
          <w:szCs w:val="21"/>
        </w:rPr>
        <w:t>注：</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38271BE7">
      <w:pPr>
        <w:jc w:val="center"/>
        <w:outlineLvl w:val="9"/>
        <w:rPr>
          <w:rFonts w:hint="eastAsia" w:ascii="宋体" w:hAnsi="Times New Roman" w:cs="Times New Roman"/>
          <w:b/>
          <w:sz w:val="32"/>
          <w:szCs w:val="32"/>
          <w:lang w:val="en-US" w:eastAsia="zh-CN"/>
        </w:rPr>
      </w:pPr>
      <w:r>
        <w:rPr>
          <w:rFonts w:hint="eastAsia" w:ascii="宋体"/>
          <w:b/>
          <w:sz w:val="28"/>
          <w:szCs w:val="28"/>
        </w:rPr>
        <w:br w:type="page"/>
      </w:r>
    </w:p>
    <w:p w14:paraId="3D8B6B1F">
      <w:pPr>
        <w:spacing w:line="360" w:lineRule="auto"/>
        <w:jc w:val="center"/>
        <w:outlineLvl w:val="9"/>
        <w:rPr>
          <w:rFonts w:hint="eastAsia" w:ascii="宋体"/>
          <w:b/>
          <w:sz w:val="32"/>
          <w:szCs w:val="32"/>
        </w:rPr>
      </w:pPr>
    </w:p>
    <w:p w14:paraId="2DF913AA">
      <w:pPr>
        <w:spacing w:line="360" w:lineRule="auto"/>
        <w:jc w:val="center"/>
        <w:outlineLvl w:val="3"/>
        <w:rPr>
          <w:rFonts w:ascii="宋体"/>
          <w:b/>
          <w:sz w:val="32"/>
          <w:szCs w:val="32"/>
        </w:rPr>
      </w:pPr>
      <w:r>
        <w:rPr>
          <w:rFonts w:hint="eastAsia" w:ascii="宋体"/>
          <w:b/>
          <w:sz w:val="32"/>
          <w:szCs w:val="32"/>
          <w:lang w:val="en-US" w:eastAsia="zh-CN"/>
        </w:rPr>
        <w:t>七</w:t>
      </w:r>
      <w:r>
        <w:rPr>
          <w:rFonts w:hint="eastAsia" w:ascii="宋体"/>
          <w:b/>
          <w:sz w:val="32"/>
          <w:szCs w:val="32"/>
        </w:rPr>
        <w:t>、用户需求书偏离表</w:t>
      </w:r>
    </w:p>
    <w:p w14:paraId="041A24F7">
      <w:pPr>
        <w:spacing w:line="360" w:lineRule="auto"/>
      </w:pPr>
    </w:p>
    <w:p w14:paraId="00012E48">
      <w:pPr>
        <w:spacing w:line="360" w:lineRule="auto"/>
        <w:rPr>
          <w:rFonts w:hint="eastAsia"/>
          <w:sz w:val="24"/>
          <w:u w:val="single"/>
        </w:rPr>
      </w:pPr>
      <w:r>
        <w:rPr>
          <w:rFonts w:hint="eastAsia"/>
          <w:sz w:val="24"/>
        </w:rPr>
        <w:t>投标人名称：</w:t>
      </w:r>
      <w:r>
        <w:rPr>
          <w:rFonts w:hint="eastAsia"/>
          <w:sz w:val="24"/>
          <w:u w:val="single"/>
        </w:rPr>
        <w:t>　　　　　　　　　　</w:t>
      </w:r>
      <w:r>
        <w:rPr>
          <w:rFonts w:hint="eastAsia"/>
          <w:sz w:val="24"/>
        </w:rPr>
        <w:t>　　项目编号：</w:t>
      </w:r>
      <w:r>
        <w:rPr>
          <w:rFonts w:hint="eastAsia"/>
          <w:sz w:val="24"/>
          <w:u w:val="single"/>
        </w:rPr>
        <w:t>　　　　　　　　</w:t>
      </w:r>
    </w:p>
    <w:p w14:paraId="6FE5D621">
      <w:pPr>
        <w:spacing w:line="360" w:lineRule="auto"/>
        <w:rPr>
          <w:rFonts w:hint="eastAsia" w:eastAsia="宋体"/>
          <w:sz w:val="24"/>
          <w:lang w:eastAsia="zh-CN"/>
        </w:rPr>
      </w:pPr>
      <w:r>
        <w:rPr>
          <w:rFonts w:hint="eastAsia"/>
          <w:sz w:val="24"/>
        </w:rPr>
        <w:t>项目名称：</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770"/>
        <w:gridCol w:w="2577"/>
        <w:gridCol w:w="1586"/>
        <w:gridCol w:w="1982"/>
      </w:tblGrid>
      <w:tr w14:paraId="572182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2" w:type="dxa"/>
            <w:noWrap w:val="0"/>
            <w:vAlign w:val="center"/>
          </w:tcPr>
          <w:p w14:paraId="4BAC1CB1">
            <w:pPr>
              <w:pStyle w:val="7"/>
              <w:spacing w:line="288" w:lineRule="auto"/>
              <w:jc w:val="center"/>
              <w:rPr>
                <w:rFonts w:ascii="Arial" w:hAnsi="Arial" w:cs="Arial"/>
                <w:szCs w:val="21"/>
              </w:rPr>
            </w:pPr>
            <w:r>
              <w:rPr>
                <w:rFonts w:ascii="Arial" w:hAnsi="Arial" w:cs="Arial"/>
                <w:szCs w:val="21"/>
              </w:rPr>
              <w:t>序号</w:t>
            </w:r>
          </w:p>
        </w:tc>
        <w:tc>
          <w:tcPr>
            <w:tcW w:w="1770" w:type="dxa"/>
            <w:noWrap w:val="0"/>
            <w:vAlign w:val="center"/>
          </w:tcPr>
          <w:p w14:paraId="6D2FC1E3">
            <w:pPr>
              <w:pStyle w:val="7"/>
              <w:spacing w:line="288" w:lineRule="auto"/>
              <w:jc w:val="center"/>
              <w:rPr>
                <w:rFonts w:ascii="Arial" w:hAnsi="Arial" w:cs="Arial"/>
                <w:szCs w:val="21"/>
              </w:rPr>
            </w:pPr>
            <w:r>
              <w:rPr>
                <w:rFonts w:ascii="Arial" w:hAnsi="Arial" w:cs="Arial"/>
                <w:szCs w:val="21"/>
              </w:rPr>
              <w:t>招标规格</w:t>
            </w:r>
          </w:p>
        </w:tc>
        <w:tc>
          <w:tcPr>
            <w:tcW w:w="2577" w:type="dxa"/>
            <w:noWrap w:val="0"/>
            <w:vAlign w:val="center"/>
          </w:tcPr>
          <w:p w14:paraId="7B29A400">
            <w:pPr>
              <w:pStyle w:val="7"/>
              <w:spacing w:line="288" w:lineRule="auto"/>
              <w:jc w:val="center"/>
              <w:rPr>
                <w:rFonts w:ascii="Arial" w:hAnsi="Arial" w:cs="Arial"/>
                <w:szCs w:val="21"/>
              </w:rPr>
            </w:pPr>
            <w:r>
              <w:rPr>
                <w:rFonts w:ascii="Arial" w:hAnsi="Arial" w:cs="Arial"/>
                <w:szCs w:val="21"/>
              </w:rPr>
              <w:t>投标规格</w:t>
            </w:r>
          </w:p>
        </w:tc>
        <w:tc>
          <w:tcPr>
            <w:tcW w:w="1586" w:type="dxa"/>
            <w:noWrap w:val="0"/>
            <w:vAlign w:val="center"/>
          </w:tcPr>
          <w:p w14:paraId="56C61B8E">
            <w:pPr>
              <w:pStyle w:val="7"/>
              <w:spacing w:line="288" w:lineRule="auto"/>
              <w:jc w:val="center"/>
              <w:rPr>
                <w:rFonts w:ascii="Arial" w:hAnsi="Arial" w:cs="Arial"/>
                <w:szCs w:val="21"/>
              </w:rPr>
            </w:pPr>
            <w:r>
              <w:rPr>
                <w:rFonts w:hint="eastAsia" w:ascii="Arial" w:hAnsi="Arial" w:cs="Arial"/>
                <w:szCs w:val="21"/>
              </w:rPr>
              <w:t>偏离情况</w:t>
            </w:r>
          </w:p>
        </w:tc>
        <w:tc>
          <w:tcPr>
            <w:tcW w:w="1982" w:type="dxa"/>
            <w:noWrap w:val="0"/>
            <w:vAlign w:val="center"/>
          </w:tcPr>
          <w:p w14:paraId="13F0729B">
            <w:pPr>
              <w:pStyle w:val="7"/>
              <w:spacing w:line="288" w:lineRule="auto"/>
              <w:jc w:val="center"/>
              <w:rPr>
                <w:rFonts w:ascii="Arial" w:hAnsi="Arial" w:cs="Arial"/>
                <w:szCs w:val="21"/>
              </w:rPr>
            </w:pPr>
            <w:r>
              <w:rPr>
                <w:rFonts w:ascii="Arial" w:hAnsi="Arial" w:cs="Arial"/>
                <w:szCs w:val="21"/>
              </w:rPr>
              <w:t>说明</w:t>
            </w:r>
          </w:p>
        </w:tc>
      </w:tr>
      <w:tr w14:paraId="57999E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03C44F6B">
            <w:pPr>
              <w:pStyle w:val="7"/>
              <w:spacing w:line="288" w:lineRule="auto"/>
              <w:rPr>
                <w:rFonts w:ascii="Arial" w:hAnsi="Arial" w:cs="Arial"/>
                <w:szCs w:val="21"/>
              </w:rPr>
            </w:pPr>
          </w:p>
        </w:tc>
        <w:tc>
          <w:tcPr>
            <w:tcW w:w="1770" w:type="dxa"/>
            <w:noWrap w:val="0"/>
            <w:vAlign w:val="top"/>
          </w:tcPr>
          <w:p w14:paraId="38EC1790">
            <w:pPr>
              <w:pStyle w:val="7"/>
              <w:spacing w:line="288" w:lineRule="auto"/>
              <w:rPr>
                <w:rFonts w:ascii="Arial" w:hAnsi="Arial" w:cs="Arial"/>
                <w:szCs w:val="21"/>
              </w:rPr>
            </w:pPr>
          </w:p>
        </w:tc>
        <w:tc>
          <w:tcPr>
            <w:tcW w:w="2577" w:type="dxa"/>
            <w:noWrap w:val="0"/>
            <w:vAlign w:val="top"/>
          </w:tcPr>
          <w:p w14:paraId="55E0A1B2">
            <w:pPr>
              <w:pStyle w:val="7"/>
              <w:spacing w:line="288" w:lineRule="auto"/>
              <w:rPr>
                <w:rFonts w:ascii="Arial" w:hAnsi="Arial" w:cs="Arial"/>
                <w:szCs w:val="21"/>
              </w:rPr>
            </w:pPr>
          </w:p>
        </w:tc>
        <w:tc>
          <w:tcPr>
            <w:tcW w:w="1586" w:type="dxa"/>
            <w:noWrap w:val="0"/>
            <w:vAlign w:val="top"/>
          </w:tcPr>
          <w:p w14:paraId="32E3DE5D">
            <w:pPr>
              <w:pStyle w:val="7"/>
              <w:spacing w:line="288" w:lineRule="auto"/>
              <w:rPr>
                <w:rFonts w:ascii="Arial" w:hAnsi="Arial" w:cs="Arial"/>
                <w:szCs w:val="21"/>
              </w:rPr>
            </w:pPr>
          </w:p>
        </w:tc>
        <w:tc>
          <w:tcPr>
            <w:tcW w:w="1982" w:type="dxa"/>
            <w:noWrap w:val="0"/>
            <w:vAlign w:val="top"/>
          </w:tcPr>
          <w:p w14:paraId="3C67C991">
            <w:pPr>
              <w:pStyle w:val="7"/>
              <w:spacing w:line="288" w:lineRule="auto"/>
              <w:rPr>
                <w:rFonts w:ascii="Arial" w:hAnsi="Arial" w:cs="Arial"/>
                <w:szCs w:val="21"/>
              </w:rPr>
            </w:pPr>
          </w:p>
        </w:tc>
      </w:tr>
      <w:tr w14:paraId="046B8D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172F204C">
            <w:pPr>
              <w:pStyle w:val="7"/>
              <w:spacing w:line="288" w:lineRule="auto"/>
              <w:rPr>
                <w:rFonts w:ascii="Arial" w:hAnsi="Arial" w:cs="Arial"/>
                <w:szCs w:val="21"/>
              </w:rPr>
            </w:pPr>
          </w:p>
        </w:tc>
        <w:tc>
          <w:tcPr>
            <w:tcW w:w="1770" w:type="dxa"/>
            <w:noWrap w:val="0"/>
            <w:vAlign w:val="top"/>
          </w:tcPr>
          <w:p w14:paraId="466FB54D">
            <w:pPr>
              <w:pStyle w:val="7"/>
              <w:spacing w:line="288" w:lineRule="auto"/>
              <w:rPr>
                <w:rFonts w:ascii="Arial" w:hAnsi="Arial" w:cs="Arial"/>
                <w:szCs w:val="21"/>
              </w:rPr>
            </w:pPr>
          </w:p>
        </w:tc>
        <w:tc>
          <w:tcPr>
            <w:tcW w:w="2577" w:type="dxa"/>
            <w:noWrap w:val="0"/>
            <w:vAlign w:val="top"/>
          </w:tcPr>
          <w:p w14:paraId="1A886432">
            <w:pPr>
              <w:pStyle w:val="7"/>
              <w:spacing w:line="288" w:lineRule="auto"/>
              <w:rPr>
                <w:rFonts w:ascii="Arial" w:hAnsi="Arial" w:cs="Arial"/>
                <w:szCs w:val="21"/>
              </w:rPr>
            </w:pPr>
          </w:p>
        </w:tc>
        <w:tc>
          <w:tcPr>
            <w:tcW w:w="1586" w:type="dxa"/>
            <w:noWrap w:val="0"/>
            <w:vAlign w:val="top"/>
          </w:tcPr>
          <w:p w14:paraId="5946A311">
            <w:pPr>
              <w:pStyle w:val="7"/>
              <w:spacing w:line="288" w:lineRule="auto"/>
              <w:rPr>
                <w:rFonts w:ascii="Arial" w:hAnsi="Arial" w:cs="Arial"/>
                <w:szCs w:val="21"/>
              </w:rPr>
            </w:pPr>
          </w:p>
        </w:tc>
        <w:tc>
          <w:tcPr>
            <w:tcW w:w="1982" w:type="dxa"/>
            <w:noWrap w:val="0"/>
            <w:vAlign w:val="top"/>
          </w:tcPr>
          <w:p w14:paraId="4F57898E">
            <w:pPr>
              <w:pStyle w:val="7"/>
              <w:spacing w:line="288" w:lineRule="auto"/>
              <w:rPr>
                <w:rFonts w:ascii="Arial" w:hAnsi="Arial" w:cs="Arial"/>
                <w:szCs w:val="21"/>
              </w:rPr>
            </w:pPr>
          </w:p>
        </w:tc>
      </w:tr>
      <w:tr w14:paraId="23D5C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3336D541">
            <w:pPr>
              <w:pStyle w:val="7"/>
              <w:spacing w:line="288" w:lineRule="auto"/>
              <w:rPr>
                <w:rFonts w:ascii="Arial" w:hAnsi="Arial" w:cs="Arial"/>
                <w:szCs w:val="21"/>
              </w:rPr>
            </w:pPr>
          </w:p>
        </w:tc>
        <w:tc>
          <w:tcPr>
            <w:tcW w:w="1770" w:type="dxa"/>
            <w:noWrap w:val="0"/>
            <w:vAlign w:val="top"/>
          </w:tcPr>
          <w:p w14:paraId="090775E0">
            <w:pPr>
              <w:pStyle w:val="7"/>
              <w:spacing w:line="288" w:lineRule="auto"/>
              <w:rPr>
                <w:rFonts w:ascii="Arial" w:hAnsi="Arial" w:cs="Arial"/>
                <w:szCs w:val="21"/>
              </w:rPr>
            </w:pPr>
          </w:p>
        </w:tc>
        <w:tc>
          <w:tcPr>
            <w:tcW w:w="2577" w:type="dxa"/>
            <w:noWrap w:val="0"/>
            <w:vAlign w:val="top"/>
          </w:tcPr>
          <w:p w14:paraId="04D8D3A1">
            <w:pPr>
              <w:pStyle w:val="7"/>
              <w:spacing w:line="288" w:lineRule="auto"/>
              <w:rPr>
                <w:rFonts w:ascii="Arial" w:hAnsi="Arial" w:cs="Arial"/>
                <w:szCs w:val="21"/>
              </w:rPr>
            </w:pPr>
          </w:p>
        </w:tc>
        <w:tc>
          <w:tcPr>
            <w:tcW w:w="1586" w:type="dxa"/>
            <w:noWrap w:val="0"/>
            <w:vAlign w:val="top"/>
          </w:tcPr>
          <w:p w14:paraId="24475EFD">
            <w:pPr>
              <w:pStyle w:val="7"/>
              <w:spacing w:line="288" w:lineRule="auto"/>
              <w:rPr>
                <w:rFonts w:ascii="Arial" w:hAnsi="Arial" w:cs="Arial"/>
                <w:szCs w:val="21"/>
              </w:rPr>
            </w:pPr>
          </w:p>
        </w:tc>
        <w:tc>
          <w:tcPr>
            <w:tcW w:w="1982" w:type="dxa"/>
            <w:noWrap w:val="0"/>
            <w:vAlign w:val="top"/>
          </w:tcPr>
          <w:p w14:paraId="7788B937">
            <w:pPr>
              <w:pStyle w:val="7"/>
              <w:spacing w:line="288" w:lineRule="auto"/>
              <w:rPr>
                <w:rFonts w:ascii="Arial" w:hAnsi="Arial" w:cs="Arial"/>
                <w:szCs w:val="21"/>
              </w:rPr>
            </w:pPr>
          </w:p>
        </w:tc>
      </w:tr>
      <w:tr w14:paraId="3AE995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42800520">
            <w:pPr>
              <w:pStyle w:val="7"/>
              <w:spacing w:line="288" w:lineRule="auto"/>
              <w:rPr>
                <w:rFonts w:ascii="Arial" w:hAnsi="Arial" w:cs="Arial"/>
                <w:szCs w:val="21"/>
              </w:rPr>
            </w:pPr>
          </w:p>
        </w:tc>
        <w:tc>
          <w:tcPr>
            <w:tcW w:w="1770" w:type="dxa"/>
            <w:noWrap w:val="0"/>
            <w:vAlign w:val="top"/>
          </w:tcPr>
          <w:p w14:paraId="1604A358">
            <w:pPr>
              <w:pStyle w:val="7"/>
              <w:spacing w:line="288" w:lineRule="auto"/>
              <w:rPr>
                <w:rFonts w:ascii="Arial" w:hAnsi="Arial" w:cs="Arial"/>
                <w:szCs w:val="21"/>
              </w:rPr>
            </w:pPr>
          </w:p>
        </w:tc>
        <w:tc>
          <w:tcPr>
            <w:tcW w:w="2577" w:type="dxa"/>
            <w:noWrap w:val="0"/>
            <w:vAlign w:val="top"/>
          </w:tcPr>
          <w:p w14:paraId="20C32B70">
            <w:pPr>
              <w:pStyle w:val="7"/>
              <w:spacing w:line="288" w:lineRule="auto"/>
              <w:rPr>
                <w:rFonts w:ascii="Arial" w:hAnsi="Arial" w:cs="Arial"/>
                <w:szCs w:val="21"/>
              </w:rPr>
            </w:pPr>
          </w:p>
        </w:tc>
        <w:tc>
          <w:tcPr>
            <w:tcW w:w="1586" w:type="dxa"/>
            <w:noWrap w:val="0"/>
            <w:vAlign w:val="top"/>
          </w:tcPr>
          <w:p w14:paraId="186D9504">
            <w:pPr>
              <w:pStyle w:val="7"/>
              <w:spacing w:line="288" w:lineRule="auto"/>
              <w:rPr>
                <w:rFonts w:ascii="Arial" w:hAnsi="Arial" w:cs="Arial"/>
                <w:szCs w:val="21"/>
              </w:rPr>
            </w:pPr>
          </w:p>
        </w:tc>
        <w:tc>
          <w:tcPr>
            <w:tcW w:w="1982" w:type="dxa"/>
            <w:noWrap w:val="0"/>
            <w:vAlign w:val="top"/>
          </w:tcPr>
          <w:p w14:paraId="61579871">
            <w:pPr>
              <w:pStyle w:val="7"/>
              <w:spacing w:line="288" w:lineRule="auto"/>
              <w:rPr>
                <w:rFonts w:ascii="Arial" w:hAnsi="Arial" w:cs="Arial"/>
                <w:szCs w:val="21"/>
              </w:rPr>
            </w:pPr>
          </w:p>
        </w:tc>
      </w:tr>
      <w:tr w14:paraId="67E181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78E321B4">
            <w:pPr>
              <w:pStyle w:val="7"/>
              <w:spacing w:line="288" w:lineRule="auto"/>
              <w:rPr>
                <w:rFonts w:ascii="Arial" w:hAnsi="Arial" w:cs="Arial"/>
                <w:szCs w:val="21"/>
              </w:rPr>
            </w:pPr>
          </w:p>
        </w:tc>
        <w:tc>
          <w:tcPr>
            <w:tcW w:w="1770" w:type="dxa"/>
            <w:noWrap w:val="0"/>
            <w:vAlign w:val="top"/>
          </w:tcPr>
          <w:p w14:paraId="6EE5089D">
            <w:pPr>
              <w:pStyle w:val="7"/>
              <w:spacing w:line="288" w:lineRule="auto"/>
              <w:rPr>
                <w:rFonts w:ascii="Arial" w:hAnsi="Arial" w:cs="Arial"/>
                <w:szCs w:val="21"/>
              </w:rPr>
            </w:pPr>
          </w:p>
        </w:tc>
        <w:tc>
          <w:tcPr>
            <w:tcW w:w="2577" w:type="dxa"/>
            <w:noWrap w:val="0"/>
            <w:vAlign w:val="top"/>
          </w:tcPr>
          <w:p w14:paraId="13621903">
            <w:pPr>
              <w:pStyle w:val="7"/>
              <w:spacing w:line="288" w:lineRule="auto"/>
              <w:rPr>
                <w:rFonts w:ascii="Arial" w:hAnsi="Arial" w:cs="Arial"/>
                <w:szCs w:val="21"/>
              </w:rPr>
            </w:pPr>
          </w:p>
        </w:tc>
        <w:tc>
          <w:tcPr>
            <w:tcW w:w="1586" w:type="dxa"/>
            <w:noWrap w:val="0"/>
            <w:vAlign w:val="top"/>
          </w:tcPr>
          <w:p w14:paraId="11EF7434">
            <w:pPr>
              <w:pStyle w:val="7"/>
              <w:spacing w:line="288" w:lineRule="auto"/>
              <w:rPr>
                <w:rFonts w:ascii="Arial" w:hAnsi="Arial" w:cs="Arial"/>
                <w:szCs w:val="21"/>
              </w:rPr>
            </w:pPr>
          </w:p>
        </w:tc>
        <w:tc>
          <w:tcPr>
            <w:tcW w:w="1982" w:type="dxa"/>
            <w:noWrap w:val="0"/>
            <w:vAlign w:val="top"/>
          </w:tcPr>
          <w:p w14:paraId="4ACE90E8">
            <w:pPr>
              <w:pStyle w:val="7"/>
              <w:spacing w:line="288" w:lineRule="auto"/>
              <w:rPr>
                <w:rFonts w:ascii="Arial" w:hAnsi="Arial" w:cs="Arial"/>
                <w:szCs w:val="21"/>
              </w:rPr>
            </w:pPr>
          </w:p>
        </w:tc>
      </w:tr>
      <w:tr w14:paraId="1F161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4C84427C">
            <w:pPr>
              <w:pStyle w:val="7"/>
              <w:spacing w:line="288" w:lineRule="auto"/>
              <w:rPr>
                <w:rFonts w:ascii="Arial" w:hAnsi="Arial" w:cs="Arial"/>
                <w:szCs w:val="21"/>
              </w:rPr>
            </w:pPr>
          </w:p>
        </w:tc>
        <w:tc>
          <w:tcPr>
            <w:tcW w:w="1770" w:type="dxa"/>
            <w:noWrap w:val="0"/>
            <w:vAlign w:val="top"/>
          </w:tcPr>
          <w:p w14:paraId="060E52A4">
            <w:pPr>
              <w:pStyle w:val="7"/>
              <w:spacing w:line="288" w:lineRule="auto"/>
              <w:rPr>
                <w:rFonts w:ascii="Arial" w:hAnsi="Arial" w:cs="Arial"/>
                <w:szCs w:val="21"/>
              </w:rPr>
            </w:pPr>
          </w:p>
        </w:tc>
        <w:tc>
          <w:tcPr>
            <w:tcW w:w="2577" w:type="dxa"/>
            <w:noWrap w:val="0"/>
            <w:vAlign w:val="top"/>
          </w:tcPr>
          <w:p w14:paraId="3DB41648">
            <w:pPr>
              <w:pStyle w:val="7"/>
              <w:spacing w:line="288" w:lineRule="auto"/>
              <w:rPr>
                <w:rFonts w:ascii="Arial" w:hAnsi="Arial" w:cs="Arial"/>
                <w:szCs w:val="21"/>
              </w:rPr>
            </w:pPr>
          </w:p>
        </w:tc>
        <w:tc>
          <w:tcPr>
            <w:tcW w:w="1586" w:type="dxa"/>
            <w:noWrap w:val="0"/>
            <w:vAlign w:val="top"/>
          </w:tcPr>
          <w:p w14:paraId="39DF4FD1">
            <w:pPr>
              <w:pStyle w:val="7"/>
              <w:spacing w:line="288" w:lineRule="auto"/>
              <w:rPr>
                <w:rFonts w:ascii="Arial" w:hAnsi="Arial" w:cs="Arial"/>
                <w:szCs w:val="21"/>
              </w:rPr>
            </w:pPr>
          </w:p>
        </w:tc>
        <w:tc>
          <w:tcPr>
            <w:tcW w:w="1982" w:type="dxa"/>
            <w:noWrap w:val="0"/>
            <w:vAlign w:val="top"/>
          </w:tcPr>
          <w:p w14:paraId="5E5ACD0D">
            <w:pPr>
              <w:pStyle w:val="7"/>
              <w:spacing w:line="288" w:lineRule="auto"/>
              <w:rPr>
                <w:rFonts w:ascii="Arial" w:hAnsi="Arial" w:cs="Arial"/>
                <w:szCs w:val="21"/>
              </w:rPr>
            </w:pPr>
          </w:p>
        </w:tc>
      </w:tr>
      <w:tr w14:paraId="40C2D6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00568043">
            <w:pPr>
              <w:pStyle w:val="7"/>
              <w:spacing w:line="288" w:lineRule="auto"/>
              <w:rPr>
                <w:rFonts w:ascii="Arial" w:hAnsi="Arial" w:cs="Arial"/>
                <w:szCs w:val="21"/>
              </w:rPr>
            </w:pPr>
          </w:p>
        </w:tc>
        <w:tc>
          <w:tcPr>
            <w:tcW w:w="1770" w:type="dxa"/>
            <w:noWrap w:val="0"/>
            <w:vAlign w:val="top"/>
          </w:tcPr>
          <w:p w14:paraId="4AF261BE">
            <w:pPr>
              <w:pStyle w:val="7"/>
              <w:spacing w:line="288" w:lineRule="auto"/>
              <w:rPr>
                <w:rFonts w:ascii="Arial" w:hAnsi="Arial" w:cs="Arial"/>
                <w:szCs w:val="21"/>
              </w:rPr>
            </w:pPr>
          </w:p>
        </w:tc>
        <w:tc>
          <w:tcPr>
            <w:tcW w:w="2577" w:type="dxa"/>
            <w:noWrap w:val="0"/>
            <w:vAlign w:val="top"/>
          </w:tcPr>
          <w:p w14:paraId="10516F21">
            <w:pPr>
              <w:pStyle w:val="7"/>
              <w:spacing w:line="288" w:lineRule="auto"/>
              <w:rPr>
                <w:rFonts w:ascii="Arial" w:hAnsi="Arial" w:cs="Arial"/>
                <w:szCs w:val="21"/>
              </w:rPr>
            </w:pPr>
          </w:p>
        </w:tc>
        <w:tc>
          <w:tcPr>
            <w:tcW w:w="1586" w:type="dxa"/>
            <w:noWrap w:val="0"/>
            <w:vAlign w:val="top"/>
          </w:tcPr>
          <w:p w14:paraId="5B0E39DA">
            <w:pPr>
              <w:pStyle w:val="7"/>
              <w:spacing w:line="288" w:lineRule="auto"/>
              <w:rPr>
                <w:rFonts w:ascii="Arial" w:hAnsi="Arial" w:cs="Arial"/>
                <w:szCs w:val="21"/>
              </w:rPr>
            </w:pPr>
          </w:p>
        </w:tc>
        <w:tc>
          <w:tcPr>
            <w:tcW w:w="1982" w:type="dxa"/>
            <w:noWrap w:val="0"/>
            <w:vAlign w:val="top"/>
          </w:tcPr>
          <w:p w14:paraId="4315AADC">
            <w:pPr>
              <w:pStyle w:val="7"/>
              <w:spacing w:line="288" w:lineRule="auto"/>
              <w:rPr>
                <w:rFonts w:ascii="Arial" w:hAnsi="Arial" w:cs="Arial"/>
                <w:szCs w:val="21"/>
              </w:rPr>
            </w:pPr>
          </w:p>
        </w:tc>
      </w:tr>
      <w:tr w14:paraId="65FC8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235464D8">
            <w:pPr>
              <w:pStyle w:val="7"/>
              <w:spacing w:line="288" w:lineRule="auto"/>
              <w:rPr>
                <w:rFonts w:ascii="Arial" w:hAnsi="Arial" w:cs="Arial"/>
                <w:szCs w:val="21"/>
              </w:rPr>
            </w:pPr>
          </w:p>
        </w:tc>
        <w:tc>
          <w:tcPr>
            <w:tcW w:w="1770" w:type="dxa"/>
            <w:noWrap w:val="0"/>
            <w:vAlign w:val="top"/>
          </w:tcPr>
          <w:p w14:paraId="732C428F">
            <w:pPr>
              <w:pStyle w:val="7"/>
              <w:spacing w:line="288" w:lineRule="auto"/>
              <w:rPr>
                <w:rFonts w:ascii="Arial" w:hAnsi="Arial" w:cs="Arial"/>
                <w:szCs w:val="21"/>
              </w:rPr>
            </w:pPr>
          </w:p>
        </w:tc>
        <w:tc>
          <w:tcPr>
            <w:tcW w:w="2577" w:type="dxa"/>
            <w:noWrap w:val="0"/>
            <w:vAlign w:val="top"/>
          </w:tcPr>
          <w:p w14:paraId="2B2C15BF">
            <w:pPr>
              <w:pStyle w:val="7"/>
              <w:spacing w:line="288" w:lineRule="auto"/>
              <w:rPr>
                <w:rFonts w:ascii="Arial" w:hAnsi="Arial" w:cs="Arial"/>
                <w:szCs w:val="21"/>
              </w:rPr>
            </w:pPr>
          </w:p>
        </w:tc>
        <w:tc>
          <w:tcPr>
            <w:tcW w:w="1586" w:type="dxa"/>
            <w:noWrap w:val="0"/>
            <w:vAlign w:val="top"/>
          </w:tcPr>
          <w:p w14:paraId="269135E9">
            <w:pPr>
              <w:pStyle w:val="7"/>
              <w:spacing w:line="288" w:lineRule="auto"/>
              <w:rPr>
                <w:rFonts w:ascii="Arial" w:hAnsi="Arial" w:cs="Arial"/>
                <w:szCs w:val="21"/>
              </w:rPr>
            </w:pPr>
          </w:p>
        </w:tc>
        <w:tc>
          <w:tcPr>
            <w:tcW w:w="1982" w:type="dxa"/>
            <w:noWrap w:val="0"/>
            <w:vAlign w:val="top"/>
          </w:tcPr>
          <w:p w14:paraId="78F3CFB4">
            <w:pPr>
              <w:pStyle w:val="7"/>
              <w:spacing w:line="288" w:lineRule="auto"/>
              <w:rPr>
                <w:rFonts w:ascii="Arial" w:hAnsi="Arial" w:cs="Arial"/>
                <w:szCs w:val="21"/>
              </w:rPr>
            </w:pPr>
          </w:p>
        </w:tc>
      </w:tr>
      <w:tr w14:paraId="64C5D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14:paraId="5E2A2014">
            <w:pPr>
              <w:pStyle w:val="7"/>
              <w:spacing w:line="288" w:lineRule="auto"/>
              <w:rPr>
                <w:rFonts w:ascii="Arial" w:hAnsi="Arial" w:cs="Arial"/>
                <w:szCs w:val="21"/>
              </w:rPr>
            </w:pPr>
          </w:p>
        </w:tc>
        <w:tc>
          <w:tcPr>
            <w:tcW w:w="1770" w:type="dxa"/>
            <w:noWrap w:val="0"/>
            <w:vAlign w:val="top"/>
          </w:tcPr>
          <w:p w14:paraId="5FD23FAF">
            <w:pPr>
              <w:pStyle w:val="7"/>
              <w:spacing w:line="288" w:lineRule="auto"/>
              <w:rPr>
                <w:rFonts w:ascii="Arial" w:hAnsi="Arial" w:cs="Arial"/>
                <w:szCs w:val="21"/>
              </w:rPr>
            </w:pPr>
          </w:p>
        </w:tc>
        <w:tc>
          <w:tcPr>
            <w:tcW w:w="2577" w:type="dxa"/>
            <w:noWrap w:val="0"/>
            <w:vAlign w:val="top"/>
          </w:tcPr>
          <w:p w14:paraId="500EC0FE">
            <w:pPr>
              <w:pStyle w:val="7"/>
              <w:spacing w:line="288" w:lineRule="auto"/>
              <w:rPr>
                <w:rFonts w:ascii="Arial" w:hAnsi="Arial" w:cs="Arial"/>
                <w:szCs w:val="21"/>
              </w:rPr>
            </w:pPr>
          </w:p>
        </w:tc>
        <w:tc>
          <w:tcPr>
            <w:tcW w:w="1586" w:type="dxa"/>
            <w:noWrap w:val="0"/>
            <w:vAlign w:val="top"/>
          </w:tcPr>
          <w:p w14:paraId="489F6547">
            <w:pPr>
              <w:pStyle w:val="7"/>
              <w:spacing w:line="288" w:lineRule="auto"/>
              <w:rPr>
                <w:rFonts w:ascii="Arial" w:hAnsi="Arial" w:cs="Arial"/>
                <w:szCs w:val="21"/>
              </w:rPr>
            </w:pPr>
          </w:p>
        </w:tc>
        <w:tc>
          <w:tcPr>
            <w:tcW w:w="1982" w:type="dxa"/>
            <w:noWrap w:val="0"/>
            <w:vAlign w:val="top"/>
          </w:tcPr>
          <w:p w14:paraId="1C70CBEF">
            <w:pPr>
              <w:pStyle w:val="7"/>
              <w:spacing w:line="288" w:lineRule="auto"/>
              <w:rPr>
                <w:rFonts w:ascii="Arial" w:hAnsi="Arial" w:cs="Arial"/>
                <w:szCs w:val="21"/>
              </w:rPr>
            </w:pPr>
          </w:p>
        </w:tc>
      </w:tr>
      <w:tr w14:paraId="2045A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7301CEDD">
            <w:pPr>
              <w:pStyle w:val="7"/>
              <w:spacing w:line="288" w:lineRule="auto"/>
              <w:rPr>
                <w:rFonts w:ascii="Arial" w:hAnsi="Arial" w:cs="Arial"/>
                <w:szCs w:val="21"/>
              </w:rPr>
            </w:pPr>
          </w:p>
        </w:tc>
        <w:tc>
          <w:tcPr>
            <w:tcW w:w="1770" w:type="dxa"/>
            <w:noWrap w:val="0"/>
            <w:vAlign w:val="top"/>
          </w:tcPr>
          <w:p w14:paraId="566D5BB7">
            <w:pPr>
              <w:pStyle w:val="7"/>
              <w:spacing w:line="288" w:lineRule="auto"/>
              <w:rPr>
                <w:rFonts w:ascii="Arial" w:hAnsi="Arial" w:cs="Arial"/>
                <w:szCs w:val="21"/>
              </w:rPr>
            </w:pPr>
          </w:p>
        </w:tc>
        <w:tc>
          <w:tcPr>
            <w:tcW w:w="2577" w:type="dxa"/>
            <w:noWrap w:val="0"/>
            <w:vAlign w:val="top"/>
          </w:tcPr>
          <w:p w14:paraId="1F1A94B7">
            <w:pPr>
              <w:pStyle w:val="7"/>
              <w:spacing w:line="288" w:lineRule="auto"/>
              <w:rPr>
                <w:rFonts w:ascii="Arial" w:hAnsi="Arial" w:cs="Arial"/>
                <w:szCs w:val="21"/>
              </w:rPr>
            </w:pPr>
          </w:p>
        </w:tc>
        <w:tc>
          <w:tcPr>
            <w:tcW w:w="1586" w:type="dxa"/>
            <w:noWrap w:val="0"/>
            <w:vAlign w:val="top"/>
          </w:tcPr>
          <w:p w14:paraId="4651702A">
            <w:pPr>
              <w:pStyle w:val="7"/>
              <w:spacing w:line="288" w:lineRule="auto"/>
              <w:rPr>
                <w:rFonts w:ascii="Arial" w:hAnsi="Arial" w:cs="Arial"/>
                <w:szCs w:val="21"/>
              </w:rPr>
            </w:pPr>
          </w:p>
        </w:tc>
        <w:tc>
          <w:tcPr>
            <w:tcW w:w="1982" w:type="dxa"/>
            <w:noWrap w:val="0"/>
            <w:vAlign w:val="top"/>
          </w:tcPr>
          <w:p w14:paraId="0F47132C">
            <w:pPr>
              <w:pStyle w:val="7"/>
              <w:spacing w:line="288" w:lineRule="auto"/>
              <w:rPr>
                <w:rFonts w:ascii="Arial" w:hAnsi="Arial" w:cs="Arial"/>
                <w:szCs w:val="21"/>
              </w:rPr>
            </w:pPr>
          </w:p>
        </w:tc>
      </w:tr>
      <w:tr w14:paraId="4044C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14:paraId="59F2A9A5">
            <w:pPr>
              <w:pStyle w:val="7"/>
              <w:spacing w:line="288" w:lineRule="auto"/>
              <w:rPr>
                <w:rFonts w:ascii="Arial" w:hAnsi="Arial" w:cs="Arial"/>
                <w:szCs w:val="21"/>
              </w:rPr>
            </w:pPr>
          </w:p>
        </w:tc>
        <w:tc>
          <w:tcPr>
            <w:tcW w:w="1770" w:type="dxa"/>
            <w:noWrap w:val="0"/>
            <w:vAlign w:val="top"/>
          </w:tcPr>
          <w:p w14:paraId="38ECB6D7">
            <w:pPr>
              <w:pStyle w:val="7"/>
              <w:spacing w:line="288" w:lineRule="auto"/>
              <w:rPr>
                <w:rFonts w:ascii="Arial" w:hAnsi="Arial" w:cs="Arial"/>
                <w:szCs w:val="21"/>
              </w:rPr>
            </w:pPr>
          </w:p>
        </w:tc>
        <w:tc>
          <w:tcPr>
            <w:tcW w:w="2577" w:type="dxa"/>
            <w:noWrap w:val="0"/>
            <w:vAlign w:val="top"/>
          </w:tcPr>
          <w:p w14:paraId="66A261DF">
            <w:pPr>
              <w:pStyle w:val="7"/>
              <w:spacing w:line="288" w:lineRule="auto"/>
              <w:rPr>
                <w:rFonts w:ascii="Arial" w:hAnsi="Arial" w:cs="Arial"/>
                <w:szCs w:val="21"/>
              </w:rPr>
            </w:pPr>
          </w:p>
        </w:tc>
        <w:tc>
          <w:tcPr>
            <w:tcW w:w="1586" w:type="dxa"/>
            <w:noWrap w:val="0"/>
            <w:vAlign w:val="top"/>
          </w:tcPr>
          <w:p w14:paraId="74CEAD2C">
            <w:pPr>
              <w:pStyle w:val="7"/>
              <w:spacing w:line="288" w:lineRule="auto"/>
              <w:rPr>
                <w:rFonts w:ascii="Arial" w:hAnsi="Arial" w:cs="Arial"/>
                <w:szCs w:val="21"/>
              </w:rPr>
            </w:pPr>
          </w:p>
        </w:tc>
        <w:tc>
          <w:tcPr>
            <w:tcW w:w="1982" w:type="dxa"/>
            <w:noWrap w:val="0"/>
            <w:vAlign w:val="top"/>
          </w:tcPr>
          <w:p w14:paraId="7A0833CE">
            <w:pPr>
              <w:pStyle w:val="7"/>
              <w:spacing w:line="288" w:lineRule="auto"/>
              <w:rPr>
                <w:rFonts w:ascii="Arial" w:hAnsi="Arial" w:cs="Arial"/>
                <w:szCs w:val="21"/>
              </w:rPr>
            </w:pPr>
          </w:p>
        </w:tc>
      </w:tr>
      <w:tr w14:paraId="5FBDB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1F2C7DAE">
            <w:pPr>
              <w:pStyle w:val="7"/>
              <w:spacing w:line="288" w:lineRule="auto"/>
              <w:rPr>
                <w:rFonts w:ascii="Arial" w:hAnsi="Arial" w:cs="Arial"/>
                <w:szCs w:val="21"/>
              </w:rPr>
            </w:pPr>
          </w:p>
        </w:tc>
        <w:tc>
          <w:tcPr>
            <w:tcW w:w="1770" w:type="dxa"/>
            <w:noWrap w:val="0"/>
            <w:vAlign w:val="top"/>
          </w:tcPr>
          <w:p w14:paraId="05CF8A54">
            <w:pPr>
              <w:pStyle w:val="7"/>
              <w:spacing w:line="288" w:lineRule="auto"/>
              <w:rPr>
                <w:rFonts w:ascii="Arial" w:hAnsi="Arial" w:cs="Arial"/>
                <w:szCs w:val="21"/>
              </w:rPr>
            </w:pPr>
          </w:p>
        </w:tc>
        <w:tc>
          <w:tcPr>
            <w:tcW w:w="2577" w:type="dxa"/>
            <w:noWrap w:val="0"/>
            <w:vAlign w:val="top"/>
          </w:tcPr>
          <w:p w14:paraId="78C96DCD">
            <w:pPr>
              <w:pStyle w:val="7"/>
              <w:spacing w:line="288" w:lineRule="auto"/>
              <w:rPr>
                <w:rFonts w:ascii="Arial" w:hAnsi="Arial" w:cs="Arial"/>
                <w:szCs w:val="21"/>
              </w:rPr>
            </w:pPr>
          </w:p>
        </w:tc>
        <w:tc>
          <w:tcPr>
            <w:tcW w:w="1586" w:type="dxa"/>
            <w:noWrap w:val="0"/>
            <w:vAlign w:val="top"/>
          </w:tcPr>
          <w:p w14:paraId="4A71935F">
            <w:pPr>
              <w:pStyle w:val="7"/>
              <w:spacing w:line="288" w:lineRule="auto"/>
              <w:rPr>
                <w:rFonts w:ascii="Arial" w:hAnsi="Arial" w:cs="Arial"/>
                <w:szCs w:val="21"/>
              </w:rPr>
            </w:pPr>
          </w:p>
        </w:tc>
        <w:tc>
          <w:tcPr>
            <w:tcW w:w="1982" w:type="dxa"/>
            <w:noWrap w:val="0"/>
            <w:vAlign w:val="top"/>
          </w:tcPr>
          <w:p w14:paraId="374A76B2">
            <w:pPr>
              <w:pStyle w:val="7"/>
              <w:spacing w:line="288" w:lineRule="auto"/>
              <w:rPr>
                <w:rFonts w:ascii="Arial" w:hAnsi="Arial" w:cs="Arial"/>
                <w:szCs w:val="21"/>
              </w:rPr>
            </w:pPr>
          </w:p>
        </w:tc>
      </w:tr>
      <w:tr w14:paraId="136D77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42" w:type="dxa"/>
            <w:noWrap w:val="0"/>
            <w:vAlign w:val="top"/>
          </w:tcPr>
          <w:p w14:paraId="6D0E405F">
            <w:pPr>
              <w:pStyle w:val="7"/>
              <w:spacing w:line="288" w:lineRule="auto"/>
              <w:rPr>
                <w:rFonts w:ascii="Arial" w:hAnsi="Arial" w:cs="Arial"/>
                <w:szCs w:val="21"/>
              </w:rPr>
            </w:pPr>
          </w:p>
        </w:tc>
        <w:tc>
          <w:tcPr>
            <w:tcW w:w="1770" w:type="dxa"/>
            <w:noWrap w:val="0"/>
            <w:vAlign w:val="top"/>
          </w:tcPr>
          <w:p w14:paraId="123F3D7A">
            <w:pPr>
              <w:pStyle w:val="7"/>
              <w:spacing w:line="288" w:lineRule="auto"/>
              <w:rPr>
                <w:rFonts w:ascii="Arial" w:hAnsi="Arial" w:cs="Arial"/>
                <w:szCs w:val="21"/>
              </w:rPr>
            </w:pPr>
          </w:p>
        </w:tc>
        <w:tc>
          <w:tcPr>
            <w:tcW w:w="2577" w:type="dxa"/>
            <w:noWrap w:val="0"/>
            <w:vAlign w:val="top"/>
          </w:tcPr>
          <w:p w14:paraId="62FCA49C">
            <w:pPr>
              <w:pStyle w:val="7"/>
              <w:spacing w:line="288" w:lineRule="auto"/>
              <w:rPr>
                <w:rFonts w:ascii="Arial" w:hAnsi="Arial" w:cs="Arial"/>
                <w:szCs w:val="21"/>
              </w:rPr>
            </w:pPr>
          </w:p>
        </w:tc>
        <w:tc>
          <w:tcPr>
            <w:tcW w:w="1586" w:type="dxa"/>
            <w:noWrap w:val="0"/>
            <w:vAlign w:val="top"/>
          </w:tcPr>
          <w:p w14:paraId="30239436">
            <w:pPr>
              <w:pStyle w:val="7"/>
              <w:spacing w:line="288" w:lineRule="auto"/>
              <w:rPr>
                <w:rFonts w:ascii="Arial" w:hAnsi="Arial" w:cs="Arial"/>
                <w:szCs w:val="21"/>
              </w:rPr>
            </w:pPr>
          </w:p>
        </w:tc>
        <w:tc>
          <w:tcPr>
            <w:tcW w:w="1982" w:type="dxa"/>
            <w:noWrap w:val="0"/>
            <w:vAlign w:val="top"/>
          </w:tcPr>
          <w:p w14:paraId="1BB5A18B">
            <w:pPr>
              <w:pStyle w:val="7"/>
              <w:spacing w:line="288" w:lineRule="auto"/>
              <w:rPr>
                <w:rFonts w:ascii="Arial" w:hAnsi="Arial" w:cs="Arial"/>
                <w:szCs w:val="21"/>
              </w:rPr>
            </w:pPr>
          </w:p>
        </w:tc>
      </w:tr>
      <w:tr w14:paraId="2CBD2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2" w:type="dxa"/>
            <w:noWrap w:val="0"/>
            <w:vAlign w:val="top"/>
          </w:tcPr>
          <w:p w14:paraId="5FFC873E">
            <w:pPr>
              <w:pStyle w:val="7"/>
              <w:spacing w:line="288" w:lineRule="auto"/>
              <w:rPr>
                <w:rFonts w:ascii="Arial" w:hAnsi="Arial" w:cs="Arial"/>
                <w:szCs w:val="21"/>
              </w:rPr>
            </w:pPr>
          </w:p>
        </w:tc>
        <w:tc>
          <w:tcPr>
            <w:tcW w:w="1770" w:type="dxa"/>
            <w:noWrap w:val="0"/>
            <w:vAlign w:val="top"/>
          </w:tcPr>
          <w:p w14:paraId="0177C209">
            <w:pPr>
              <w:pStyle w:val="7"/>
              <w:spacing w:line="288" w:lineRule="auto"/>
              <w:rPr>
                <w:rFonts w:ascii="Arial" w:hAnsi="Arial" w:cs="Arial"/>
                <w:szCs w:val="21"/>
              </w:rPr>
            </w:pPr>
          </w:p>
        </w:tc>
        <w:tc>
          <w:tcPr>
            <w:tcW w:w="2577" w:type="dxa"/>
            <w:noWrap w:val="0"/>
            <w:vAlign w:val="top"/>
          </w:tcPr>
          <w:p w14:paraId="3599732A">
            <w:pPr>
              <w:pStyle w:val="7"/>
              <w:spacing w:line="288" w:lineRule="auto"/>
              <w:rPr>
                <w:rFonts w:ascii="Arial" w:hAnsi="Arial" w:cs="Arial"/>
                <w:szCs w:val="21"/>
              </w:rPr>
            </w:pPr>
          </w:p>
        </w:tc>
        <w:tc>
          <w:tcPr>
            <w:tcW w:w="1586" w:type="dxa"/>
            <w:noWrap w:val="0"/>
            <w:vAlign w:val="top"/>
          </w:tcPr>
          <w:p w14:paraId="4793E309">
            <w:pPr>
              <w:pStyle w:val="7"/>
              <w:spacing w:line="288" w:lineRule="auto"/>
              <w:rPr>
                <w:rFonts w:ascii="Arial" w:hAnsi="Arial" w:cs="Arial"/>
                <w:szCs w:val="21"/>
              </w:rPr>
            </w:pPr>
          </w:p>
        </w:tc>
        <w:tc>
          <w:tcPr>
            <w:tcW w:w="1982" w:type="dxa"/>
            <w:noWrap w:val="0"/>
            <w:vAlign w:val="top"/>
          </w:tcPr>
          <w:p w14:paraId="0E5575A4">
            <w:pPr>
              <w:pStyle w:val="7"/>
              <w:spacing w:line="288" w:lineRule="auto"/>
              <w:rPr>
                <w:rFonts w:ascii="Arial" w:hAnsi="Arial" w:cs="Arial"/>
                <w:szCs w:val="21"/>
              </w:rPr>
            </w:pPr>
          </w:p>
        </w:tc>
      </w:tr>
      <w:tr w14:paraId="58621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42" w:type="dxa"/>
            <w:noWrap w:val="0"/>
            <w:vAlign w:val="top"/>
          </w:tcPr>
          <w:p w14:paraId="56287952">
            <w:pPr>
              <w:pStyle w:val="7"/>
              <w:spacing w:line="288" w:lineRule="auto"/>
              <w:rPr>
                <w:rFonts w:ascii="Arial" w:hAnsi="Arial" w:cs="Arial"/>
                <w:szCs w:val="21"/>
              </w:rPr>
            </w:pPr>
          </w:p>
        </w:tc>
        <w:tc>
          <w:tcPr>
            <w:tcW w:w="1770" w:type="dxa"/>
            <w:noWrap w:val="0"/>
            <w:vAlign w:val="top"/>
          </w:tcPr>
          <w:p w14:paraId="57886157">
            <w:pPr>
              <w:pStyle w:val="7"/>
              <w:spacing w:line="288" w:lineRule="auto"/>
              <w:rPr>
                <w:rFonts w:ascii="Arial" w:hAnsi="Arial" w:cs="Arial"/>
                <w:szCs w:val="21"/>
              </w:rPr>
            </w:pPr>
          </w:p>
        </w:tc>
        <w:tc>
          <w:tcPr>
            <w:tcW w:w="2577" w:type="dxa"/>
            <w:noWrap w:val="0"/>
            <w:vAlign w:val="top"/>
          </w:tcPr>
          <w:p w14:paraId="40FE37E3">
            <w:pPr>
              <w:pStyle w:val="7"/>
              <w:spacing w:line="288" w:lineRule="auto"/>
              <w:rPr>
                <w:rFonts w:ascii="Arial" w:hAnsi="Arial" w:cs="Arial"/>
                <w:szCs w:val="21"/>
              </w:rPr>
            </w:pPr>
          </w:p>
        </w:tc>
        <w:tc>
          <w:tcPr>
            <w:tcW w:w="1586" w:type="dxa"/>
            <w:noWrap w:val="0"/>
            <w:vAlign w:val="top"/>
          </w:tcPr>
          <w:p w14:paraId="5FDE6C43">
            <w:pPr>
              <w:pStyle w:val="7"/>
              <w:spacing w:line="288" w:lineRule="auto"/>
              <w:rPr>
                <w:rFonts w:ascii="Arial" w:hAnsi="Arial" w:cs="Arial"/>
                <w:szCs w:val="21"/>
              </w:rPr>
            </w:pPr>
          </w:p>
        </w:tc>
        <w:tc>
          <w:tcPr>
            <w:tcW w:w="1982" w:type="dxa"/>
            <w:noWrap w:val="0"/>
            <w:vAlign w:val="top"/>
          </w:tcPr>
          <w:p w14:paraId="55B52C97">
            <w:pPr>
              <w:pStyle w:val="7"/>
              <w:spacing w:line="288" w:lineRule="auto"/>
              <w:rPr>
                <w:rFonts w:ascii="Arial" w:hAnsi="Arial" w:cs="Arial"/>
                <w:szCs w:val="21"/>
              </w:rPr>
            </w:pPr>
          </w:p>
        </w:tc>
      </w:tr>
    </w:tbl>
    <w:p w14:paraId="7993B1B1">
      <w:pPr>
        <w:spacing w:line="288" w:lineRule="auto"/>
        <w:ind w:left="630" w:hanging="630" w:hangingChars="300"/>
        <w:jc w:val="left"/>
        <w:rPr>
          <w:rFonts w:ascii="宋体" w:hAnsi="宋体"/>
          <w:szCs w:val="28"/>
        </w:rPr>
      </w:pPr>
      <w:r>
        <w:rPr>
          <w:rFonts w:hint="eastAsia" w:ascii="宋体" w:hAnsi="宋体"/>
          <w:szCs w:val="28"/>
        </w:rPr>
        <w:t>注：1、本表必须对应</w:t>
      </w:r>
      <w:r>
        <w:rPr>
          <w:rFonts w:hint="eastAsia" w:ascii="宋体" w:hAnsi="宋体"/>
          <w:szCs w:val="28"/>
          <w:lang w:eastAsia="zh-CN"/>
        </w:rPr>
        <w:t>采购文件</w:t>
      </w:r>
      <w:r>
        <w:rPr>
          <w:rFonts w:hint="eastAsia" w:ascii="宋体" w:hAnsi="宋体"/>
          <w:szCs w:val="28"/>
        </w:rPr>
        <w:t>第三章的所有技术条款内容进行填写；</w:t>
      </w:r>
    </w:p>
    <w:p w14:paraId="4AE2F32E">
      <w:pPr>
        <w:spacing w:line="288" w:lineRule="auto"/>
        <w:ind w:left="630" w:leftChars="200" w:hanging="210" w:hangingChars="100"/>
        <w:jc w:val="left"/>
        <w:rPr>
          <w:rFonts w:hint="eastAsia" w:ascii="宋体" w:hAnsi="宋体"/>
          <w:b/>
          <w:bCs/>
          <w:szCs w:val="28"/>
        </w:rPr>
      </w:pPr>
      <w:r>
        <w:rPr>
          <w:rFonts w:hint="eastAsia" w:ascii="宋体" w:hAnsi="宋体"/>
          <w:szCs w:val="28"/>
        </w:rPr>
        <w:t>2、应在“偏离情况”栏内注明“正偏离、或负偏离、或无偏离”。</w:t>
      </w:r>
    </w:p>
    <w:p w14:paraId="0B372BB6">
      <w:pPr>
        <w:spacing w:line="288" w:lineRule="auto"/>
        <w:ind w:left="701" w:leftChars="200" w:hanging="281" w:hangingChars="100"/>
        <w:jc w:val="left"/>
        <w:rPr>
          <w:rFonts w:hint="eastAsia" w:ascii="宋体" w:hAnsi="宋体" w:cs="宋体"/>
          <w:b/>
          <w:bCs/>
          <w:sz w:val="28"/>
          <w:szCs w:val="21"/>
        </w:rPr>
      </w:pPr>
    </w:p>
    <w:p w14:paraId="0381C1F3">
      <w:pPr>
        <w:pStyle w:val="7"/>
        <w:spacing w:line="360" w:lineRule="auto"/>
        <w:rPr>
          <w:b/>
          <w:bCs/>
          <w:sz w:val="24"/>
        </w:rPr>
      </w:pPr>
      <w:r>
        <w:rPr>
          <w:rFonts w:hint="eastAsia"/>
          <w:b/>
          <w:bCs/>
          <w:sz w:val="24"/>
        </w:rPr>
        <w:t>投标人（公章）：</w:t>
      </w:r>
    </w:p>
    <w:p w14:paraId="32808B0E">
      <w:pPr>
        <w:spacing w:line="288" w:lineRule="auto"/>
        <w:rPr>
          <w:rFonts w:hint="eastAsia"/>
          <w:b/>
          <w:bCs/>
          <w:sz w:val="24"/>
        </w:rPr>
      </w:pPr>
      <w:r>
        <w:rPr>
          <w:rFonts w:hint="eastAsia"/>
          <w:b/>
          <w:bCs/>
          <w:sz w:val="24"/>
        </w:rPr>
        <w:t>日期：年月日</w:t>
      </w:r>
    </w:p>
    <w:p w14:paraId="0CC37BBE">
      <w:pPr>
        <w:spacing w:line="360" w:lineRule="auto"/>
        <w:jc w:val="center"/>
        <w:outlineLvl w:val="3"/>
        <w:rPr>
          <w:rFonts w:ascii="宋体"/>
          <w:b/>
          <w:sz w:val="32"/>
          <w:szCs w:val="32"/>
        </w:rPr>
      </w:pPr>
      <w:r>
        <w:rPr>
          <w:rFonts w:hint="eastAsia" w:ascii="宋体" w:hAnsi="宋体" w:cs="宋体"/>
          <w:b/>
          <w:bCs/>
          <w:sz w:val="28"/>
          <w:szCs w:val="21"/>
          <w:lang w:val="en-US" w:eastAsia="zh-CN"/>
        </w:rPr>
        <w:br w:type="page"/>
      </w:r>
      <w:r>
        <w:rPr>
          <w:rFonts w:hint="eastAsia" w:ascii="宋体"/>
          <w:b/>
          <w:sz w:val="32"/>
          <w:szCs w:val="32"/>
          <w:lang w:val="en-US" w:eastAsia="zh-CN"/>
        </w:rPr>
        <w:t>八</w:t>
      </w:r>
      <w:r>
        <w:rPr>
          <w:rFonts w:hint="eastAsia" w:ascii="宋体"/>
          <w:b/>
          <w:sz w:val="32"/>
          <w:szCs w:val="32"/>
        </w:rPr>
        <w:t>、其它</w:t>
      </w:r>
      <w:r>
        <w:rPr>
          <w:rFonts w:hint="eastAsia" w:ascii="宋体"/>
          <w:b/>
          <w:sz w:val="32"/>
          <w:szCs w:val="32"/>
          <w:lang w:eastAsia="zh-CN"/>
        </w:rPr>
        <w:t>采购文件</w:t>
      </w:r>
      <w:r>
        <w:rPr>
          <w:rFonts w:hint="eastAsia" w:ascii="宋体"/>
          <w:b/>
          <w:sz w:val="32"/>
          <w:szCs w:val="32"/>
        </w:rPr>
        <w:t>要求的或投标人认为需要补充的资格性、符合性审查文件</w:t>
      </w:r>
      <w:r>
        <w:rPr>
          <w:rFonts w:hint="eastAsia" w:ascii="宋体" w:hAnsi="宋体" w:cs="宋体"/>
          <w:b/>
          <w:bCs/>
          <w:sz w:val="32"/>
          <w:szCs w:val="32"/>
        </w:rPr>
        <w:t>（格式自拟）</w:t>
      </w:r>
    </w:p>
    <w:p w14:paraId="30162596">
      <w:pPr>
        <w:jc w:val="both"/>
        <w:rPr>
          <w:rFonts w:ascii="宋体" w:hAnsi="宋体" w:cs="宋体"/>
          <w:b/>
          <w:bCs/>
          <w:sz w:val="32"/>
          <w:szCs w:val="32"/>
        </w:rPr>
      </w:pPr>
    </w:p>
    <w:p w14:paraId="5C17CDA9">
      <w:pPr>
        <w:rPr>
          <w:rFonts w:hint="eastAsia" w:ascii="宋体" w:hAnsi="宋体" w:cs="宋体"/>
          <w:b/>
          <w:bCs/>
          <w:sz w:val="36"/>
          <w:szCs w:val="36"/>
        </w:rPr>
      </w:pPr>
      <w:bookmarkStart w:id="81" w:name="_Toc1709"/>
      <w:r>
        <w:rPr>
          <w:rFonts w:hint="eastAsia" w:ascii="宋体" w:hAnsi="宋体" w:cs="宋体"/>
          <w:b/>
          <w:bCs/>
          <w:sz w:val="36"/>
          <w:szCs w:val="36"/>
        </w:rPr>
        <w:br w:type="page"/>
      </w:r>
    </w:p>
    <w:p w14:paraId="5D166688">
      <w:pPr>
        <w:jc w:val="center"/>
        <w:outlineLvl w:val="2"/>
        <w:rPr>
          <w:b/>
          <w:bCs/>
          <w:sz w:val="36"/>
          <w:szCs w:val="36"/>
        </w:rPr>
      </w:pPr>
      <w:r>
        <w:rPr>
          <w:rFonts w:hint="eastAsia" w:ascii="宋体" w:hAnsi="宋体" w:cs="宋体"/>
          <w:b/>
          <w:bCs/>
          <w:sz w:val="36"/>
          <w:szCs w:val="36"/>
        </w:rPr>
        <w:t>第三部分</w:t>
      </w:r>
      <w:r>
        <w:rPr>
          <w:rFonts w:hint="eastAsia"/>
          <w:b/>
          <w:bCs/>
          <w:sz w:val="36"/>
          <w:szCs w:val="36"/>
        </w:rPr>
        <w:t>商务评审文件</w:t>
      </w:r>
      <w:bookmarkEnd w:id="81"/>
    </w:p>
    <w:p w14:paraId="07F53E12">
      <w:pPr>
        <w:jc w:val="center"/>
        <w:rPr>
          <w:rFonts w:ascii="Arial" w:hAnsi="Arial" w:cs="Arial"/>
          <w:b/>
          <w:bCs/>
          <w:sz w:val="24"/>
        </w:rPr>
      </w:pPr>
      <w:bookmarkStart w:id="82" w:name="OLE_LINK10"/>
    </w:p>
    <w:p w14:paraId="64904B31">
      <w:pPr>
        <w:spacing w:line="360" w:lineRule="auto"/>
        <w:jc w:val="center"/>
        <w:outlineLvl w:val="3"/>
        <w:rPr>
          <w:rFonts w:ascii="宋体"/>
          <w:b/>
          <w:sz w:val="32"/>
          <w:szCs w:val="32"/>
        </w:rPr>
      </w:pPr>
      <w:r>
        <w:rPr>
          <w:rFonts w:hint="eastAsia" w:ascii="宋体"/>
          <w:b/>
          <w:sz w:val="32"/>
          <w:szCs w:val="32"/>
        </w:rPr>
        <w:t>一、</w:t>
      </w:r>
      <w:bookmarkEnd w:id="82"/>
      <w:r>
        <w:rPr>
          <w:rFonts w:hint="eastAsia" w:ascii="宋体"/>
          <w:b/>
          <w:sz w:val="32"/>
          <w:szCs w:val="32"/>
        </w:rPr>
        <w:t>其它</w:t>
      </w:r>
      <w:r>
        <w:rPr>
          <w:rFonts w:hint="eastAsia" w:ascii="宋体"/>
          <w:b/>
          <w:sz w:val="32"/>
          <w:szCs w:val="32"/>
          <w:lang w:eastAsia="zh-CN"/>
        </w:rPr>
        <w:t>采购文件</w:t>
      </w:r>
      <w:r>
        <w:rPr>
          <w:rFonts w:hint="eastAsia" w:ascii="宋体"/>
          <w:b/>
          <w:sz w:val="32"/>
          <w:szCs w:val="32"/>
        </w:rPr>
        <w:t>要求的或投标人认为需要补充的商务评审文件</w:t>
      </w:r>
    </w:p>
    <w:p w14:paraId="26E7B7B2">
      <w:pPr>
        <w:pStyle w:val="2"/>
        <w:jc w:val="center"/>
        <w:rPr>
          <w:rFonts w:ascii="宋体" w:hAnsi="宋体" w:cs="宋体"/>
          <w:b/>
          <w:bCs/>
          <w:sz w:val="32"/>
          <w:szCs w:val="32"/>
        </w:rPr>
      </w:pPr>
      <w:r>
        <w:rPr>
          <w:rFonts w:hint="eastAsia" w:ascii="宋体" w:hAnsi="宋体" w:cs="宋体"/>
          <w:b/>
          <w:bCs/>
          <w:sz w:val="32"/>
          <w:szCs w:val="32"/>
        </w:rPr>
        <w:t>（格式自拟）</w:t>
      </w:r>
    </w:p>
    <w:p w14:paraId="6CEA9104">
      <w:pPr>
        <w:pStyle w:val="2"/>
        <w:jc w:val="center"/>
        <w:rPr>
          <w:rFonts w:ascii="宋体" w:hAnsi="宋体" w:cs="宋体"/>
          <w:b/>
          <w:bCs/>
          <w:sz w:val="32"/>
          <w:szCs w:val="32"/>
        </w:rPr>
      </w:pPr>
    </w:p>
    <w:p w14:paraId="4A738BCA">
      <w:pPr>
        <w:pStyle w:val="2"/>
        <w:jc w:val="center"/>
        <w:rPr>
          <w:rFonts w:ascii="宋体" w:hAnsi="宋体" w:cs="宋体"/>
          <w:b/>
          <w:bCs/>
          <w:sz w:val="32"/>
          <w:szCs w:val="32"/>
        </w:rPr>
      </w:pPr>
    </w:p>
    <w:p w14:paraId="0F7D8794">
      <w:pPr>
        <w:rPr>
          <w:rFonts w:hint="eastAsia" w:ascii="宋体" w:hAnsi="宋体" w:cs="宋体"/>
          <w:b/>
          <w:bCs/>
          <w:sz w:val="36"/>
          <w:szCs w:val="36"/>
        </w:rPr>
      </w:pPr>
      <w:bookmarkStart w:id="83" w:name="_Toc26412"/>
      <w:r>
        <w:rPr>
          <w:rFonts w:hint="eastAsia" w:ascii="宋体" w:hAnsi="宋体" w:cs="宋体"/>
          <w:b/>
          <w:bCs/>
          <w:sz w:val="36"/>
          <w:szCs w:val="36"/>
        </w:rPr>
        <w:br w:type="page"/>
      </w:r>
    </w:p>
    <w:p w14:paraId="68E92B8D">
      <w:pPr>
        <w:pStyle w:val="2"/>
        <w:jc w:val="center"/>
        <w:outlineLvl w:val="2"/>
        <w:rPr>
          <w:sz w:val="36"/>
          <w:szCs w:val="36"/>
        </w:rPr>
      </w:pPr>
      <w:r>
        <w:rPr>
          <w:rFonts w:hint="eastAsia" w:ascii="宋体" w:hAnsi="宋体" w:cs="宋体"/>
          <w:b/>
          <w:bCs/>
          <w:sz w:val="36"/>
          <w:szCs w:val="36"/>
        </w:rPr>
        <w:t>第四部分</w:t>
      </w:r>
      <w:r>
        <w:rPr>
          <w:rFonts w:hint="eastAsia"/>
          <w:b/>
          <w:bCs/>
          <w:sz w:val="36"/>
          <w:szCs w:val="36"/>
        </w:rPr>
        <w:t>技术评审文件</w:t>
      </w:r>
      <w:bookmarkEnd w:id="83"/>
    </w:p>
    <w:p w14:paraId="3593E882">
      <w:pPr>
        <w:rPr>
          <w:rFonts w:ascii="宋体" w:hAnsi="宋体" w:cs="宋体"/>
          <w:b/>
          <w:bCs/>
          <w:sz w:val="32"/>
          <w:szCs w:val="32"/>
        </w:rPr>
      </w:pPr>
    </w:p>
    <w:p w14:paraId="0F266196">
      <w:pPr>
        <w:spacing w:line="360" w:lineRule="auto"/>
        <w:jc w:val="center"/>
        <w:outlineLvl w:val="3"/>
        <w:rPr>
          <w:rFonts w:ascii="宋体"/>
          <w:b/>
          <w:sz w:val="32"/>
          <w:szCs w:val="32"/>
        </w:rPr>
      </w:pPr>
      <w:r>
        <w:rPr>
          <w:rFonts w:hint="eastAsia" w:ascii="宋体"/>
          <w:b/>
          <w:sz w:val="32"/>
          <w:szCs w:val="32"/>
        </w:rPr>
        <w:t>一、</w:t>
      </w:r>
      <w:r>
        <w:rPr>
          <w:rFonts w:hint="eastAsia" w:ascii="宋体"/>
          <w:b/>
          <w:sz w:val="32"/>
          <w:szCs w:val="32"/>
          <w:lang w:eastAsia="zh-CN"/>
        </w:rPr>
        <w:t>采购文件</w:t>
      </w:r>
      <w:r>
        <w:rPr>
          <w:rFonts w:hint="eastAsia" w:ascii="宋体"/>
          <w:b/>
          <w:sz w:val="32"/>
          <w:szCs w:val="32"/>
        </w:rPr>
        <w:t>要求的或投标人认为需要补充的技术评审文件</w:t>
      </w:r>
    </w:p>
    <w:p w14:paraId="41E82558">
      <w:pPr>
        <w:widowControl/>
        <w:tabs>
          <w:tab w:val="left" w:pos="142"/>
        </w:tabs>
        <w:autoSpaceDE w:val="0"/>
        <w:autoSpaceDN w:val="0"/>
        <w:spacing w:line="312" w:lineRule="auto"/>
        <w:ind w:right="28"/>
        <w:jc w:val="center"/>
        <w:textAlignment w:val="bottom"/>
        <w:outlineLvl w:val="9"/>
        <w:rPr>
          <w:b/>
          <w:bCs/>
          <w:sz w:val="36"/>
          <w:szCs w:val="36"/>
        </w:rPr>
      </w:pPr>
      <w:bookmarkStart w:id="84" w:name="_Toc6924"/>
      <w:r>
        <w:rPr>
          <w:rFonts w:hint="eastAsia" w:ascii="宋体" w:hAnsi="宋体" w:cs="宋体"/>
          <w:b/>
          <w:bCs/>
          <w:sz w:val="32"/>
          <w:szCs w:val="32"/>
        </w:rPr>
        <w:t>（格式自拟）</w:t>
      </w:r>
      <w:r>
        <w:br w:type="page"/>
      </w:r>
      <w:r>
        <w:rPr>
          <w:rFonts w:hint="eastAsia"/>
          <w:b/>
          <w:bCs/>
          <w:sz w:val="36"/>
          <w:szCs w:val="36"/>
        </w:rPr>
        <w:t>附：开标文件格式（独立密封提交）</w:t>
      </w:r>
      <w:bookmarkEnd w:id="84"/>
    </w:p>
    <w:p w14:paraId="2EE12B0B">
      <w:pPr>
        <w:pStyle w:val="2"/>
        <w:ind w:firstLine="480" w:firstLineChars="200"/>
        <w:rPr>
          <w:rFonts w:ascii="宋体" w:hAnsi="宋体" w:cs="宋体"/>
        </w:rPr>
      </w:pPr>
    </w:p>
    <w:p w14:paraId="7EFDCDC9">
      <w:pPr>
        <w:pStyle w:val="2"/>
        <w:spacing w:line="312" w:lineRule="auto"/>
        <w:ind w:firstLine="1400" w:firstLineChars="500"/>
        <w:rPr>
          <w:rFonts w:ascii="宋体" w:hAnsi="宋体" w:cs="宋体"/>
          <w:sz w:val="28"/>
          <w:szCs w:val="28"/>
        </w:rPr>
      </w:pPr>
      <w:r>
        <w:rPr>
          <w:rFonts w:hint="eastAsia" w:ascii="宋体" w:hAnsi="宋体" w:cs="宋体"/>
          <w:sz w:val="28"/>
          <w:szCs w:val="28"/>
        </w:rPr>
        <w:t>1、投标一览表</w:t>
      </w:r>
    </w:p>
    <w:p w14:paraId="2969BC57">
      <w:pPr>
        <w:pStyle w:val="2"/>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法定代表人证明书</w:t>
      </w:r>
    </w:p>
    <w:p w14:paraId="2FC4AE4F">
      <w:pPr>
        <w:pStyle w:val="2"/>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、法定代表人授权书</w:t>
      </w:r>
    </w:p>
    <w:p w14:paraId="58460BA8">
      <w:pPr>
        <w:pStyle w:val="2"/>
        <w:spacing w:line="312" w:lineRule="auto"/>
        <w:ind w:firstLine="1400" w:firstLineChars="500"/>
        <w:rPr>
          <w:rFonts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、USB接口设备或CD－R光盘存储的投标文件电子文档</w:t>
      </w:r>
    </w:p>
    <w:p w14:paraId="50020FB6">
      <w:pPr>
        <w:pStyle w:val="2"/>
      </w:pPr>
    </w:p>
    <w:p w14:paraId="145BF6FE">
      <w:pPr>
        <w:rPr>
          <w:sz w:val="24"/>
        </w:rPr>
      </w:pPr>
      <w:r>
        <w:rPr>
          <w:rFonts w:hint="eastAsia"/>
          <w:sz w:val="24"/>
        </w:rPr>
        <w:t>注：开标文件和投标文件（含正本和副本）应分开独立密封包装。具体要求见《投标人须知》</w:t>
      </w:r>
    </w:p>
    <w:p w14:paraId="177F7E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微软雅黑"/>
    <w:panose1 w:val="020B0604020202020204"/>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9A46">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87F1B">
                          <w:pPr>
                            <w:pStyle w:val="8"/>
                          </w:pPr>
                          <w:r>
                            <w:t>第</w:t>
                          </w:r>
                          <w:r>
                            <w:fldChar w:fldCharType="begin"/>
                          </w:r>
                          <w:r>
                            <w:instrText xml:space="preserve"> PAGE  \* MERGEFORMAT </w:instrText>
                          </w:r>
                          <w:r>
                            <w:fldChar w:fldCharType="separate"/>
                          </w:r>
                          <w:r>
                            <w:t>3</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8687F1B">
                    <w:pPr>
                      <w:pStyle w:val="8"/>
                    </w:pPr>
                    <w:r>
                      <w:t>第</w:t>
                    </w:r>
                    <w:r>
                      <w:fldChar w:fldCharType="begin"/>
                    </w:r>
                    <w:r>
                      <w:instrText xml:space="preserve"> PAGE  \* MERGEFORMAT </w:instrText>
                    </w:r>
                    <w:r>
                      <w:fldChar w:fldCharType="separate"/>
                    </w:r>
                    <w:r>
                      <w:t>3</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7C75">
    <w:pPr>
      <w:pStyle w:val="8"/>
      <w:framePr w:wrap="around" w:vAnchor="text" w:hAnchor="margin" w:xAlign="right" w:y="1"/>
      <w:rPr>
        <w:rStyle w:val="18"/>
      </w:rPr>
    </w:pPr>
    <w:r>
      <w:rPr>
        <w:rStyle w:val="18"/>
      </w:rPr>
      <w:fldChar w:fldCharType="begin"/>
    </w:r>
    <w:r>
      <w:rPr>
        <w:rStyle w:val="18"/>
      </w:rPr>
      <w:instrText xml:space="preserve">PAGE  </w:instrText>
    </w:r>
    <w:r>
      <w:rPr>
        <w:rStyle w:val="18"/>
      </w:rPr>
      <w:fldChar w:fldCharType="end"/>
    </w:r>
  </w:p>
  <w:p w14:paraId="0F2A2B3C">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3153D">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CD95F3">
                          <w:pPr>
                            <w:pStyle w:val="8"/>
                          </w:pPr>
                          <w:r>
                            <w:t>第</w:t>
                          </w:r>
                          <w:r>
                            <w:fldChar w:fldCharType="begin"/>
                          </w:r>
                          <w:r>
                            <w:instrText xml:space="preserve"> PAGE  \* MERGEFORMAT </w:instrText>
                          </w:r>
                          <w:r>
                            <w:fldChar w:fldCharType="separate"/>
                          </w:r>
                          <w:r>
                            <w:t>2</w:t>
                          </w:r>
                          <w: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9CD95F3">
                    <w:pPr>
                      <w:pStyle w:val="8"/>
                    </w:pPr>
                    <w:r>
                      <w:t>第</w:t>
                    </w:r>
                    <w:r>
                      <w:fldChar w:fldCharType="begin"/>
                    </w:r>
                    <w:r>
                      <w:instrText xml:space="preserve"> PAGE  \* MERGEFORMAT </w:instrText>
                    </w:r>
                    <w:r>
                      <w:fldChar w:fldCharType="separate"/>
                    </w:r>
                    <w:r>
                      <w:t>2</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D3440">
    <w:pPr>
      <w:pStyle w:val="9"/>
      <w:pBdr>
        <w:bottom w:val="none" w:color="auto" w:sz="0" w:space="0"/>
      </w:pBdr>
      <w:jc w:val="left"/>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511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F8F2D"/>
    <w:multiLevelType w:val="singleLevel"/>
    <w:tmpl w:val="A64F8F2D"/>
    <w:lvl w:ilvl="0" w:tentative="0">
      <w:start w:val="1"/>
      <w:numFmt w:val="decimal"/>
      <w:lvlText w:val="%1."/>
      <w:lvlJc w:val="left"/>
      <w:pPr>
        <w:tabs>
          <w:tab w:val="left" w:pos="312"/>
        </w:tabs>
      </w:pPr>
    </w:lvl>
  </w:abstractNum>
  <w:abstractNum w:abstractNumId="1">
    <w:nsid w:val="00000013"/>
    <w:multiLevelType w:val="singleLevel"/>
    <w:tmpl w:val="00000013"/>
    <w:lvl w:ilvl="0" w:tentative="0">
      <w:start w:val="1"/>
      <w:numFmt w:val="chineseCounting"/>
      <w:suff w:val="nothing"/>
      <w:lvlText w:val="%1、"/>
      <w:lvlJc w:val="left"/>
      <w:pPr>
        <w:ind w:left="0" w:firstLine="420"/>
      </w:pPr>
      <w:rPr>
        <w:rFonts w:hint="eastAsia"/>
      </w:rPr>
    </w:lvl>
  </w:abstractNum>
  <w:abstractNum w:abstractNumId="2">
    <w:nsid w:val="0000001B"/>
    <w:multiLevelType w:val="singleLevel"/>
    <w:tmpl w:val="0000001B"/>
    <w:lvl w:ilvl="0" w:tentative="0">
      <w:start w:val="1"/>
      <w:numFmt w:val="decimal"/>
      <w:suff w:val="nothing"/>
      <w:lvlText w:val="（%1）"/>
      <w:lvlJc w:val="left"/>
    </w:lvl>
  </w:abstractNum>
  <w:abstractNum w:abstractNumId="3">
    <w:nsid w:val="0000001C"/>
    <w:multiLevelType w:val="singleLevel"/>
    <w:tmpl w:val="0000001C"/>
    <w:lvl w:ilvl="0" w:tentative="0">
      <w:start w:val="1"/>
      <w:numFmt w:val="decimal"/>
      <w:lvlText w:val="%1）"/>
      <w:lvlJc w:val="left"/>
      <w:pPr>
        <w:tabs>
          <w:tab w:val="left" w:pos="567"/>
        </w:tabs>
        <w:ind w:left="567" w:hanging="567"/>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D4A6E"/>
    <w:rsid w:val="06415418"/>
    <w:rsid w:val="07346045"/>
    <w:rsid w:val="0EF97BEC"/>
    <w:rsid w:val="139511CE"/>
    <w:rsid w:val="14CE75C4"/>
    <w:rsid w:val="17C90A93"/>
    <w:rsid w:val="1838494B"/>
    <w:rsid w:val="1E890872"/>
    <w:rsid w:val="25C608CD"/>
    <w:rsid w:val="26AE307B"/>
    <w:rsid w:val="37FE02EA"/>
    <w:rsid w:val="38024C62"/>
    <w:rsid w:val="381D4A6E"/>
    <w:rsid w:val="3DAF01C0"/>
    <w:rsid w:val="3F16192F"/>
    <w:rsid w:val="49F1460A"/>
    <w:rsid w:val="523136FC"/>
    <w:rsid w:val="5C0C126D"/>
    <w:rsid w:val="67F919C2"/>
    <w:rsid w:val="6E7925BC"/>
    <w:rsid w:val="73605EBC"/>
    <w:rsid w:val="757F54F7"/>
    <w:rsid w:val="77465465"/>
    <w:rsid w:val="7C53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adjustRightInd w:val="0"/>
      <w:jc w:val="center"/>
      <w:textAlignment w:val="baseline"/>
      <w:outlineLvl w:val="1"/>
    </w:pPr>
    <w:rPr>
      <w:rFonts w:ascii="Times New Roman" w:hAnsi="Times New Roman" w:eastAsia="宋体" w:cs="Times New Roman"/>
      <w:kern w:val="0"/>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2"/>
        <w:tab w:val="left" w:pos="3372"/>
        <w:tab w:val="left" w:pos="3653"/>
      </w:tabs>
    </w:pPr>
    <w:rPr>
      <w:sz w:val="24"/>
    </w:rPr>
  </w:style>
  <w:style w:type="paragraph" w:customStyle="1" w:styleId="4">
    <w:name w:val="方案正文"/>
    <w:basedOn w:val="1"/>
    <w:qFormat/>
    <w:uiPriority w:val="0"/>
    <w:pPr>
      <w:ind w:firstLine="200" w:firstLineChars="200"/>
    </w:pPr>
    <w:rPr>
      <w:rFonts w:ascii="Times New Roman" w:hAnsi="Times New Roman"/>
      <w:sz w:val="28"/>
      <w:szCs w:val="22"/>
    </w:rPr>
  </w:style>
  <w:style w:type="paragraph" w:styleId="5">
    <w:name w:val="Normal Indent"/>
    <w:basedOn w:val="1"/>
    <w:next w:val="1"/>
    <w:qFormat/>
    <w:uiPriority w:val="0"/>
    <w:pPr>
      <w:adjustRightInd w:val="0"/>
      <w:spacing w:line="360" w:lineRule="atLeast"/>
      <w:ind w:firstLine="420"/>
      <w:jc w:val="left"/>
      <w:textAlignment w:val="baseline"/>
    </w:pPr>
    <w:rPr>
      <w:kern w:val="0"/>
      <w:sz w:val="24"/>
    </w:rPr>
  </w:style>
  <w:style w:type="paragraph" w:styleId="6">
    <w:name w:val="annotation text"/>
    <w:basedOn w:val="1"/>
    <w:qFormat/>
    <w:uiPriority w:val="0"/>
    <w:pPr>
      <w:jc w:val="left"/>
    </w:pPr>
  </w:style>
  <w:style w:type="paragraph" w:styleId="7">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Hyperlink"/>
    <w:qFormat/>
    <w:uiPriority w:val="0"/>
    <w:rPr>
      <w:rFonts w:hint="eastAsia" w:ascii="宋体" w:hAnsi="宋体" w:eastAsia="宋体" w:cs="宋体"/>
      <w:color w:val="0031C1"/>
      <w:sz w:val="18"/>
      <w:szCs w:val="18"/>
      <w:u w:val="none"/>
    </w:rPr>
  </w:style>
  <w:style w:type="paragraph" w:customStyle="1" w:styleId="2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character" w:customStyle="1" w:styleId="21">
    <w:name w:val="NormalCharacter"/>
    <w:qFormat/>
    <w:uiPriority w:val="0"/>
    <w:rPr>
      <w:rFonts w:ascii="Times New Roman" w:hAnsi="Times New Roman" w:eastAsia="宋体" w:cs="Times New Roman"/>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table" w:customStyle="1" w:styleId="23">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
    <w:name w:val="网格型1"/>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5">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14817</Words>
  <Characters>15278</Characters>
  <Lines>0</Lines>
  <Paragraphs>0</Paragraphs>
  <TotalTime>31</TotalTime>
  <ScaleCrop>false</ScaleCrop>
  <LinksUpToDate>false</LinksUpToDate>
  <CharactersWithSpaces>15286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2026-04-27T01:27:00Z</dcterms:created>
  <dc:creator>Edward</dc:creator>
  <cp:lastModifiedBy>李先森。。。。（李璟）</cp:lastModifiedBy>
  <cp:lastPrinted>2026-07-09T02:04:00Z</cp:lastPrinted>
  <dcterms:modified xsi:type="dcterms:W3CDTF">2026-07-10T10:31:17Z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28F83728358B4D6E8FF4285F26B33D30_13</vt:lpwstr>
  </property>
  <property fmtid="{D5CDD505-2E9C-101B-9397-08002B2CF9AE}" pid="4" name="KSOTemplateDocerSaveRecord">
    <vt:lpwstr>eyJoZGlkIjoiMWY4NTc0MzQ5YTUxMDk4OTJkZGUxOGU4NDc5ZmRkMzYiLCJ1c2VySWQiOiI0MDM5NzU1NTcifQ==</vt:lpwstr>
  </property>
</Properties>
</file>