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1045C">
      <w:pPr>
        <w:keepNext w:val="0"/>
        <w:keepLines w:val="0"/>
        <w:pageBreakBefore w:val="0"/>
        <w:widowControl w:val="0"/>
        <w:kinsoku/>
        <w:wordWrap/>
        <w:overflowPunct/>
        <w:topLinePunct w:val="0"/>
        <w:autoSpaceDE/>
        <w:autoSpaceDN/>
        <w:bidi w:val="0"/>
        <w:adjustRightInd/>
        <w:snapToGrid/>
        <w:spacing w:after="313" w:afterLines="100" w:line="540" w:lineRule="exact"/>
        <w:jc w:val="center"/>
        <w:textAlignment w:val="auto"/>
        <w:rPr>
          <w:rFonts w:ascii="仿宋" w:hAnsi="仿宋" w:eastAsia="仿宋" w:cs="宋体"/>
          <w:color w:val="auto"/>
          <w:sz w:val="28"/>
          <w:szCs w:val="28"/>
        </w:rPr>
      </w:pPr>
      <w:r>
        <w:rPr>
          <w:rFonts w:hint="eastAsia" w:ascii="方正小标宋_GBK" w:hAnsi="方正小标宋_GBK" w:eastAsia="方正小标宋_GBK" w:cs="方正小标宋_GBK"/>
          <w:color w:val="auto"/>
          <w:sz w:val="44"/>
          <w:szCs w:val="44"/>
        </w:rPr>
        <w:t>中国医学科学院肿瘤医院深圳医院微信公众号2026年度外包服务项目采购需求</w:t>
      </w:r>
    </w:p>
    <w:p w14:paraId="6C6A4528">
      <w:pPr>
        <w:keepNext w:val="0"/>
        <w:keepLines w:val="0"/>
        <w:pageBreakBefore w:val="0"/>
        <w:widowControl w:val="0"/>
        <w:kinsoku/>
        <w:wordWrap/>
        <w:overflowPunct/>
        <w:topLinePunct w:val="0"/>
        <w:autoSpaceDE/>
        <w:autoSpaceDN/>
        <w:bidi w:val="0"/>
        <w:adjustRightInd/>
        <w:snapToGrid/>
        <w:spacing w:before="313" w:beforeLines="100" w:line="540" w:lineRule="exact"/>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一、项目背景</w:t>
      </w:r>
    </w:p>
    <w:p w14:paraId="3A644CC0">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ascii="仿宋" w:hAnsi="仿宋" w:eastAsia="仿宋" w:cs="仿宋"/>
          <w:color w:val="auto"/>
          <w:sz w:val="32"/>
          <w:szCs w:val="32"/>
        </w:rPr>
      </w:pPr>
      <w:r>
        <w:rPr>
          <w:rStyle w:val="14"/>
          <w:rFonts w:hint="eastAsia" w:ascii="仿宋" w:hAnsi="仿宋" w:eastAsia="仿宋" w:cs="仿宋"/>
          <w:color w:val="auto"/>
          <w:sz w:val="32"/>
          <w:szCs w:val="32"/>
        </w:rPr>
        <w:t>为利用微信公众平台加强医院服务，正确引导网络舆论，加强互动交流，提升服务便利性和专业性，开展医疗卫生科普知识等服务，拟依托具有政务新媒体主管主办单位的下属企事业单位或主流新闻媒体、主流新闻网站资质的单位进行运营，全面提升医院影响力。结合医院实际，</w:t>
      </w:r>
      <w:r>
        <w:rPr>
          <w:rStyle w:val="14"/>
          <w:rFonts w:hint="eastAsia" w:ascii="仿宋" w:hAnsi="仿宋" w:eastAsia="仿宋" w:cs="仿宋"/>
          <w:color w:val="auto"/>
          <w:sz w:val="32"/>
          <w:szCs w:val="32"/>
          <w:lang w:val="en-US" w:eastAsia="zh-CN"/>
        </w:rPr>
        <w:t>开展招标采购，需求如下。</w:t>
      </w:r>
    </w:p>
    <w:p w14:paraId="560E943A">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54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二、项目概况</w:t>
      </w:r>
    </w:p>
    <w:p w14:paraId="1833FB50">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一</w:t>
      </w:r>
      <w:r>
        <w:rPr>
          <w:rStyle w:val="14"/>
          <w:rFonts w:hint="eastAsia" w:ascii="仿宋" w:hAnsi="仿宋" w:eastAsia="仿宋" w:cs="仿宋"/>
          <w:color w:val="auto"/>
          <w:sz w:val="32"/>
          <w:szCs w:val="32"/>
          <w:lang w:eastAsia="zh-CN"/>
        </w:rPr>
        <w:t>）项目名称：中国医学科学院肿瘤医院深圳医院微信公众号2026年度外包服务项目。</w:t>
      </w:r>
    </w:p>
    <w:p w14:paraId="32AD7BF4">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二</w:t>
      </w:r>
      <w:r>
        <w:rPr>
          <w:rStyle w:val="14"/>
          <w:rFonts w:hint="eastAsia" w:ascii="仿宋" w:hAnsi="仿宋" w:eastAsia="仿宋" w:cs="仿宋"/>
          <w:color w:val="auto"/>
          <w:sz w:val="32"/>
          <w:szCs w:val="32"/>
          <w:lang w:eastAsia="zh-CN"/>
        </w:rPr>
        <w:t>）项目内容：中国医学科学院肿瘤医院深圳医院微信公众号（服务号和订阅号）内容策划生产及微信编排和推广。</w:t>
      </w:r>
    </w:p>
    <w:p w14:paraId="047CB6AF">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三</w:t>
      </w:r>
      <w:r>
        <w:rPr>
          <w:rStyle w:val="14"/>
          <w:rFonts w:hint="eastAsia" w:ascii="仿宋" w:hAnsi="仿宋" w:eastAsia="仿宋" w:cs="仿宋"/>
          <w:color w:val="auto"/>
          <w:sz w:val="32"/>
          <w:szCs w:val="32"/>
          <w:lang w:eastAsia="zh-CN"/>
        </w:rPr>
        <w:t>）合作模式：配备专业微信运营团队，指定专职微信编辑运营医院微信公众号，包含采写、编辑和后台维护等。医院保留公众号管理员权限，乙方使用子账号或授权账号开展工作。</w:t>
      </w:r>
    </w:p>
    <w:p w14:paraId="5DE20DFD">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四</w:t>
      </w:r>
      <w:r>
        <w:rPr>
          <w:rStyle w:val="14"/>
          <w:rFonts w:hint="eastAsia" w:ascii="仿宋" w:hAnsi="仿宋" w:eastAsia="仿宋" w:cs="仿宋"/>
          <w:color w:val="auto"/>
          <w:sz w:val="32"/>
          <w:szCs w:val="32"/>
          <w:lang w:eastAsia="zh-CN"/>
        </w:rPr>
        <w:t>）合作周期：合同签订之日起1年内。</w:t>
      </w:r>
    </w:p>
    <w:p w14:paraId="2C4DBEB2">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五</w:t>
      </w:r>
      <w:r>
        <w:rPr>
          <w:rStyle w:val="14"/>
          <w:rFonts w:hint="eastAsia" w:ascii="仿宋" w:hAnsi="仿宋" w:eastAsia="仿宋" w:cs="仿宋"/>
          <w:color w:val="auto"/>
          <w:sz w:val="32"/>
          <w:szCs w:val="32"/>
          <w:lang w:eastAsia="zh-CN"/>
        </w:rPr>
        <w:t>）报价</w:t>
      </w:r>
      <w:r>
        <w:rPr>
          <w:rStyle w:val="14"/>
          <w:rFonts w:hint="eastAsia" w:ascii="仿宋" w:hAnsi="仿宋" w:eastAsia="仿宋" w:cs="仿宋"/>
          <w:color w:val="auto"/>
          <w:sz w:val="32"/>
          <w:szCs w:val="32"/>
          <w:lang w:val="en-US" w:eastAsia="zh-CN"/>
        </w:rPr>
        <w:t>要求：需提供两版，</w:t>
      </w:r>
      <w:r>
        <w:rPr>
          <w:rStyle w:val="14"/>
          <w:rFonts w:hint="eastAsia" w:ascii="仿宋" w:hAnsi="仿宋" w:eastAsia="仿宋" w:cs="仿宋"/>
          <w:color w:val="auto"/>
          <w:sz w:val="32"/>
          <w:szCs w:val="32"/>
          <w:lang w:eastAsia="zh-CN"/>
        </w:rPr>
        <w:t>包含</w:t>
      </w:r>
      <w:r>
        <w:rPr>
          <w:rStyle w:val="14"/>
          <w:rFonts w:hint="eastAsia" w:ascii="仿宋" w:hAnsi="仿宋" w:eastAsia="仿宋" w:cs="仿宋"/>
          <w:color w:val="auto"/>
          <w:sz w:val="32"/>
          <w:szCs w:val="32"/>
          <w:lang w:val="en-US" w:eastAsia="zh-CN"/>
        </w:rPr>
        <w:t>派驻1名专职驻点编辑和不含专职驻点编辑。</w:t>
      </w:r>
    </w:p>
    <w:p w14:paraId="52031717">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六</w:t>
      </w: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工作内容：账号运营、</w:t>
      </w:r>
      <w:r>
        <w:rPr>
          <w:rStyle w:val="14"/>
          <w:rFonts w:hint="eastAsia" w:ascii="仿宋" w:hAnsi="仿宋" w:eastAsia="仿宋" w:cs="仿宋"/>
          <w:color w:val="auto"/>
          <w:sz w:val="32"/>
          <w:szCs w:val="32"/>
          <w:lang w:eastAsia="zh-CN"/>
        </w:rPr>
        <w:t>采编、</w:t>
      </w:r>
      <w:r>
        <w:rPr>
          <w:rStyle w:val="14"/>
          <w:rFonts w:hint="eastAsia" w:ascii="仿宋" w:hAnsi="仿宋" w:eastAsia="仿宋" w:cs="仿宋"/>
          <w:color w:val="auto"/>
          <w:sz w:val="32"/>
          <w:szCs w:val="32"/>
          <w:lang w:val="en-US" w:eastAsia="zh-CN"/>
        </w:rPr>
        <w:t>视频、</w:t>
      </w:r>
      <w:r>
        <w:rPr>
          <w:rStyle w:val="14"/>
          <w:rFonts w:hint="eastAsia" w:ascii="仿宋" w:hAnsi="仿宋" w:eastAsia="仿宋" w:cs="仿宋"/>
          <w:color w:val="auto"/>
          <w:sz w:val="32"/>
          <w:szCs w:val="32"/>
          <w:lang w:eastAsia="zh-CN"/>
        </w:rPr>
        <w:t>设计、版权、税费、差旅、设备、推广等全部费用。</w:t>
      </w:r>
    </w:p>
    <w:p w14:paraId="21C48E8C">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p>
    <w:p w14:paraId="3214CAAC">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54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三、微信公众号服务需求</w:t>
      </w:r>
    </w:p>
    <w:p w14:paraId="21E841D1">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val="en-US" w:eastAsia="zh-CN"/>
        </w:rPr>
        <w:t>账号定位分析</w:t>
      </w:r>
    </w:p>
    <w:p w14:paraId="38AAF0C7">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投标人须</w:t>
      </w:r>
      <w:r>
        <w:rPr>
          <w:rStyle w:val="14"/>
          <w:rFonts w:hint="eastAsia" w:ascii="仿宋" w:hAnsi="仿宋" w:eastAsia="仿宋" w:cs="仿宋"/>
          <w:color w:val="auto"/>
          <w:sz w:val="32"/>
          <w:szCs w:val="32"/>
          <w:lang w:val="en-US" w:eastAsia="zh-CN"/>
        </w:rPr>
        <w:t>对</w:t>
      </w:r>
      <w:r>
        <w:rPr>
          <w:rStyle w:val="14"/>
          <w:rFonts w:hint="eastAsia" w:ascii="仿宋" w:hAnsi="仿宋" w:eastAsia="仿宋" w:cs="仿宋"/>
          <w:color w:val="auto"/>
          <w:sz w:val="32"/>
          <w:szCs w:val="32"/>
          <w:lang w:eastAsia="zh-CN"/>
        </w:rPr>
        <w:t>服务号（主账号）、订阅号（辅助账号）的定位、内容方向、发布策略</w:t>
      </w:r>
      <w:r>
        <w:rPr>
          <w:rStyle w:val="14"/>
          <w:rFonts w:hint="eastAsia" w:ascii="仿宋" w:hAnsi="仿宋" w:eastAsia="仿宋" w:cs="仿宋"/>
          <w:color w:val="auto"/>
          <w:sz w:val="32"/>
          <w:szCs w:val="32"/>
          <w:lang w:val="en-US" w:eastAsia="zh-CN"/>
        </w:rPr>
        <w:t>做出具体定位。</w:t>
      </w:r>
      <w:r>
        <w:rPr>
          <w:rStyle w:val="14"/>
          <w:rFonts w:hint="eastAsia" w:ascii="仿宋" w:hAnsi="仿宋" w:eastAsia="仿宋" w:cs="仿宋"/>
          <w:color w:val="auto"/>
          <w:sz w:val="32"/>
          <w:szCs w:val="32"/>
          <w:lang w:eastAsia="zh-CN"/>
        </w:rPr>
        <w:t>执行</w:t>
      </w:r>
      <w:r>
        <w:rPr>
          <w:rStyle w:val="14"/>
          <w:rFonts w:hint="eastAsia" w:ascii="仿宋" w:hAnsi="仿宋" w:eastAsia="仿宋" w:cs="仿宋"/>
          <w:color w:val="auto"/>
          <w:sz w:val="32"/>
          <w:szCs w:val="32"/>
          <w:lang w:val="en-US" w:eastAsia="zh-CN"/>
        </w:rPr>
        <w:t>主要</w:t>
      </w:r>
      <w:r>
        <w:rPr>
          <w:rStyle w:val="14"/>
          <w:rFonts w:hint="eastAsia" w:ascii="仿宋" w:hAnsi="仿宋" w:eastAsia="仿宋" w:cs="仿宋"/>
          <w:color w:val="auto"/>
          <w:sz w:val="32"/>
          <w:szCs w:val="32"/>
          <w:lang w:eastAsia="zh-CN"/>
        </w:rPr>
        <w:t>以服务号运营为重点，对订阅号做补充延展。</w:t>
      </w:r>
    </w:p>
    <w:p w14:paraId="64CC3C02">
      <w:pPr>
        <w:keepNext w:val="0"/>
        <w:keepLines w:val="0"/>
        <w:pageBreakBefore w:val="0"/>
        <w:widowControl w:val="0"/>
        <w:numPr>
          <w:ilvl w:val="0"/>
          <w:numId w:val="1"/>
        </w:numPr>
        <w:shd w:val="clear" w:color="auto" w:fill="FFFFFF"/>
        <w:kinsoku/>
        <w:wordWrap/>
        <w:overflowPunct/>
        <w:topLinePunct w:val="0"/>
        <w:autoSpaceDE/>
        <w:autoSpaceDN/>
        <w:bidi w:val="0"/>
        <w:adjustRightInd/>
        <w:snapToGrid/>
        <w:spacing w:line="540" w:lineRule="exact"/>
        <w:ind w:left="0" w:leftChars="0" w:firstLine="0" w:firstLineChars="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val="en-US" w:eastAsia="zh-CN"/>
        </w:rPr>
        <w:t>账号主要内容</w:t>
      </w:r>
    </w:p>
    <w:p w14:paraId="34289E36">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40" w:lineRule="exact"/>
        <w:ind w:leftChars="0"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服务号：作为医院官方权威发布和就医服务核心主入口，主打</w:t>
      </w:r>
      <w:r>
        <w:rPr>
          <w:rStyle w:val="14"/>
          <w:rFonts w:hint="eastAsia" w:ascii="仿宋" w:hAnsi="仿宋" w:eastAsia="仿宋" w:cs="仿宋"/>
          <w:color w:val="auto"/>
          <w:sz w:val="32"/>
          <w:szCs w:val="32"/>
          <w:lang w:val="en-US" w:eastAsia="zh-CN"/>
        </w:rPr>
        <w:t>典型案例</w:t>
      </w:r>
      <w:r>
        <w:rPr>
          <w:rStyle w:val="14"/>
          <w:rFonts w:hint="eastAsia" w:ascii="仿宋" w:hAnsi="仿宋" w:eastAsia="仿宋" w:cs="仿宋"/>
          <w:color w:val="auto"/>
          <w:sz w:val="32"/>
          <w:szCs w:val="32"/>
          <w:lang w:eastAsia="zh-CN"/>
        </w:rPr>
        <w:t>、专家解读、患者教育、品牌展示、就医服务；粉丝基数大、用户触达能力强，头条优先用于</w:t>
      </w:r>
      <w:r>
        <w:rPr>
          <w:rStyle w:val="14"/>
          <w:rFonts w:hint="eastAsia" w:ascii="仿宋" w:hAnsi="仿宋" w:eastAsia="仿宋" w:cs="仿宋"/>
          <w:color w:val="auto"/>
          <w:sz w:val="32"/>
          <w:szCs w:val="32"/>
          <w:lang w:val="en-US" w:eastAsia="zh-CN"/>
        </w:rPr>
        <w:t>院内典型案例、新技术、新项目</w:t>
      </w:r>
      <w:r>
        <w:rPr>
          <w:rStyle w:val="14"/>
          <w:rFonts w:hint="eastAsia" w:ascii="仿宋" w:hAnsi="仿宋" w:eastAsia="仿宋" w:cs="仿宋"/>
          <w:color w:val="auto"/>
          <w:sz w:val="32"/>
          <w:szCs w:val="32"/>
          <w:lang w:eastAsia="zh-CN"/>
        </w:rPr>
        <w:t>或科普知识宣传。</w:t>
      </w:r>
    </w:p>
    <w:p w14:paraId="7B57B847">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订阅号：作为补充传播窗口，承接医院要闻、政务新闻、科室动态、党建文化、学术活动、院内资讯等内容，对服务号内容做补充，丰富医院对外宣传维度。</w:t>
      </w:r>
    </w:p>
    <w:p w14:paraId="62DD9337">
      <w:pPr>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val="en-US" w:eastAsia="zh-CN"/>
        </w:rPr>
        <w:t>注：重大事项等推文可两号同步发送，不算原创内容条数，发布内容具体以院方实际需求为准</w:t>
      </w:r>
      <w:r>
        <w:rPr>
          <w:rStyle w:val="14"/>
          <w:rFonts w:hint="eastAsia" w:ascii="仿宋" w:hAnsi="仿宋" w:eastAsia="仿宋" w:cs="仿宋"/>
          <w:color w:val="auto"/>
          <w:sz w:val="32"/>
          <w:szCs w:val="32"/>
          <w:lang w:eastAsia="zh-CN"/>
        </w:rPr>
        <w:t>。</w:t>
      </w:r>
    </w:p>
    <w:p w14:paraId="392D0329">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三</w:t>
      </w:r>
      <w:r>
        <w:rPr>
          <w:rStyle w:val="14"/>
          <w:rFonts w:hint="eastAsia" w:ascii="仿宋" w:hAnsi="仿宋" w:eastAsia="仿宋" w:cs="仿宋"/>
          <w:color w:val="auto"/>
          <w:sz w:val="32"/>
          <w:szCs w:val="32"/>
          <w:lang w:eastAsia="zh-CN"/>
        </w:rPr>
        <w:t>）重点产出内容范围</w:t>
      </w:r>
    </w:p>
    <w:p w14:paraId="69FAB658">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1.</w:t>
      </w:r>
      <w:r>
        <w:rPr>
          <w:rStyle w:val="14"/>
          <w:rFonts w:hint="eastAsia" w:ascii="仿宋" w:hAnsi="仿宋" w:eastAsia="仿宋" w:cs="仿宋"/>
          <w:color w:val="auto"/>
          <w:sz w:val="32"/>
          <w:szCs w:val="32"/>
          <w:lang w:val="en-US" w:eastAsia="zh-CN"/>
        </w:rPr>
        <w:t>典型案例、</w:t>
      </w:r>
      <w:r>
        <w:rPr>
          <w:rStyle w:val="14"/>
          <w:rFonts w:hint="eastAsia" w:ascii="仿宋" w:hAnsi="仿宋" w:eastAsia="仿宋" w:cs="仿宋"/>
          <w:color w:val="auto"/>
          <w:sz w:val="32"/>
          <w:szCs w:val="32"/>
          <w:lang w:eastAsia="zh-CN"/>
        </w:rPr>
        <w:t xml:space="preserve"> 肿瘤防治科普、专家解读、患者教育、患者故事；</w:t>
      </w:r>
    </w:p>
    <w:p w14:paraId="308EB36C">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 xml:space="preserve">2. </w:t>
      </w:r>
      <w:r>
        <w:rPr>
          <w:rStyle w:val="14"/>
          <w:rFonts w:hint="eastAsia" w:ascii="仿宋" w:hAnsi="仿宋" w:eastAsia="仿宋" w:cs="仿宋"/>
          <w:color w:val="auto"/>
          <w:sz w:val="32"/>
          <w:szCs w:val="32"/>
          <w:lang w:val="en-US" w:eastAsia="zh-CN"/>
        </w:rPr>
        <w:t>就医相关</w:t>
      </w:r>
      <w:r>
        <w:rPr>
          <w:rStyle w:val="14"/>
          <w:rFonts w:hint="eastAsia" w:ascii="仿宋" w:hAnsi="仿宋" w:eastAsia="仿宋" w:cs="仿宋"/>
          <w:color w:val="auto"/>
          <w:sz w:val="32"/>
          <w:szCs w:val="32"/>
          <w:lang w:eastAsia="zh-CN"/>
        </w:rPr>
        <w:t>公告、义诊通知、专家出诊、就医流程、便民服务、招聘信息；</w:t>
      </w:r>
    </w:p>
    <w:p w14:paraId="0ADDEDE1">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3. 新技术新项目、肿瘤防治宣传周、医师节、重大学术活动、</w:t>
      </w:r>
      <w:r>
        <w:rPr>
          <w:rStyle w:val="14"/>
          <w:rFonts w:hint="eastAsia" w:ascii="仿宋" w:hAnsi="仿宋" w:eastAsia="仿宋" w:cs="仿宋"/>
          <w:color w:val="auto"/>
          <w:sz w:val="32"/>
          <w:szCs w:val="32"/>
          <w:lang w:val="en-US" w:eastAsia="zh-CN"/>
        </w:rPr>
        <w:t>重要时间事件</w:t>
      </w:r>
      <w:r>
        <w:rPr>
          <w:rStyle w:val="14"/>
          <w:rFonts w:hint="eastAsia" w:ascii="仿宋" w:hAnsi="仿宋" w:eastAsia="仿宋" w:cs="仿宋"/>
          <w:color w:val="auto"/>
          <w:sz w:val="32"/>
          <w:szCs w:val="32"/>
          <w:lang w:eastAsia="zh-CN"/>
        </w:rPr>
        <w:t>、科室活动、党建文化；</w:t>
      </w:r>
    </w:p>
    <w:p w14:paraId="0ADF3624">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4. 政策解读、医院政务新闻、院内要闻；</w:t>
      </w:r>
    </w:p>
    <w:p w14:paraId="4E935058">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5. 转载国家卫健委、健康中国、总院、</w:t>
      </w:r>
      <w:r>
        <w:rPr>
          <w:rStyle w:val="14"/>
          <w:rFonts w:hint="eastAsia" w:ascii="仿宋" w:hAnsi="仿宋" w:eastAsia="仿宋" w:cs="仿宋"/>
          <w:color w:val="auto"/>
          <w:sz w:val="32"/>
          <w:szCs w:val="32"/>
          <w:lang w:val="en-US" w:eastAsia="zh-CN"/>
        </w:rPr>
        <w:t>深圳市卫生健康委</w:t>
      </w:r>
      <w:r>
        <w:rPr>
          <w:rStyle w:val="14"/>
          <w:rFonts w:hint="eastAsia" w:ascii="仿宋" w:hAnsi="仿宋" w:eastAsia="仿宋" w:cs="仿宋"/>
          <w:color w:val="auto"/>
          <w:sz w:val="32"/>
          <w:szCs w:val="32"/>
          <w:lang w:eastAsia="zh-CN"/>
        </w:rPr>
        <w:t>等权威</w:t>
      </w:r>
      <w:r>
        <w:rPr>
          <w:rStyle w:val="14"/>
          <w:rFonts w:hint="eastAsia" w:ascii="仿宋" w:hAnsi="仿宋" w:eastAsia="仿宋" w:cs="仿宋"/>
          <w:color w:val="auto"/>
          <w:sz w:val="32"/>
          <w:szCs w:val="32"/>
          <w:lang w:val="en-US" w:eastAsia="zh-CN"/>
        </w:rPr>
        <w:t>机构内容</w:t>
      </w:r>
      <w:r>
        <w:rPr>
          <w:rStyle w:val="14"/>
          <w:rFonts w:hint="eastAsia" w:ascii="仿宋" w:hAnsi="仿宋" w:eastAsia="仿宋" w:cs="仿宋"/>
          <w:color w:val="auto"/>
          <w:sz w:val="32"/>
          <w:szCs w:val="32"/>
          <w:lang w:eastAsia="zh-CN"/>
        </w:rPr>
        <w:t>，转载内容须取得授权并规范标注来源。</w:t>
      </w:r>
    </w:p>
    <w:p w14:paraId="4258F4A2">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default" w:ascii="仿宋" w:hAnsi="仿宋" w:eastAsia="仿宋" w:cs="仿宋"/>
          <w:color w:val="auto"/>
          <w:sz w:val="32"/>
          <w:szCs w:val="32"/>
          <w:lang w:val="en-US" w:eastAsia="zh-CN"/>
        </w:rPr>
      </w:pPr>
      <w:r>
        <w:rPr>
          <w:rStyle w:val="14"/>
          <w:rFonts w:hint="eastAsia" w:ascii="仿宋" w:hAnsi="仿宋" w:eastAsia="仿宋" w:cs="仿宋"/>
          <w:color w:val="auto"/>
          <w:sz w:val="32"/>
          <w:szCs w:val="32"/>
          <w:lang w:val="en-US" w:eastAsia="zh-CN"/>
        </w:rPr>
        <w:t>6. 除以上以外其他医院传播所需内容。</w:t>
      </w:r>
    </w:p>
    <w:p w14:paraId="5564A5CC">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strike w:val="0"/>
          <w:dstrike w:val="0"/>
          <w:color w:val="auto"/>
          <w:sz w:val="32"/>
          <w:szCs w:val="32"/>
          <w:lang w:eastAsia="zh-CN"/>
        </w:rPr>
      </w:pPr>
      <w:r>
        <w:rPr>
          <w:rStyle w:val="14"/>
          <w:rFonts w:hint="eastAsia" w:ascii="仿宋" w:hAnsi="仿宋" w:eastAsia="仿宋" w:cs="仿宋"/>
          <w:strike w:val="0"/>
          <w:dstrike w:val="0"/>
          <w:color w:val="auto"/>
          <w:sz w:val="32"/>
          <w:szCs w:val="32"/>
          <w:lang w:eastAsia="zh-CN"/>
        </w:rPr>
        <w:t>（</w:t>
      </w:r>
      <w:r>
        <w:rPr>
          <w:rStyle w:val="14"/>
          <w:rFonts w:hint="eastAsia" w:ascii="仿宋" w:hAnsi="仿宋" w:eastAsia="仿宋" w:cs="仿宋"/>
          <w:strike w:val="0"/>
          <w:dstrike w:val="0"/>
          <w:color w:val="auto"/>
          <w:sz w:val="32"/>
          <w:szCs w:val="32"/>
          <w:lang w:val="en-US" w:eastAsia="zh-CN"/>
        </w:rPr>
        <w:t>四</w:t>
      </w:r>
      <w:r>
        <w:rPr>
          <w:rStyle w:val="14"/>
          <w:rFonts w:hint="eastAsia" w:ascii="仿宋" w:hAnsi="仿宋" w:eastAsia="仿宋" w:cs="仿宋"/>
          <w:strike w:val="0"/>
          <w:dstrike w:val="0"/>
          <w:color w:val="auto"/>
          <w:sz w:val="32"/>
          <w:szCs w:val="32"/>
          <w:lang w:eastAsia="zh-CN"/>
        </w:rPr>
        <w:t>）发布频次与形式</w:t>
      </w:r>
    </w:p>
    <w:p w14:paraId="0712B445">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strike/>
          <w:dstrike w:val="0"/>
          <w:color w:val="auto"/>
          <w:sz w:val="32"/>
          <w:szCs w:val="32"/>
          <w:lang w:eastAsia="zh-CN"/>
        </w:rPr>
      </w:pPr>
      <w:r>
        <w:rPr>
          <w:rStyle w:val="14"/>
          <w:rFonts w:hint="eastAsia" w:ascii="仿宋" w:hAnsi="仿宋" w:eastAsia="仿宋" w:cs="仿宋"/>
          <w:strike w:val="0"/>
          <w:dstrike w:val="0"/>
          <w:color w:val="auto"/>
          <w:sz w:val="32"/>
          <w:szCs w:val="32"/>
          <w:lang w:eastAsia="zh-CN"/>
        </w:rPr>
        <w:t>全年完成服务号</w:t>
      </w:r>
      <w:r>
        <w:rPr>
          <w:rStyle w:val="14"/>
          <w:rFonts w:hint="eastAsia" w:ascii="仿宋" w:hAnsi="仿宋" w:eastAsia="仿宋" w:cs="仿宋"/>
          <w:strike w:val="0"/>
          <w:dstrike w:val="0"/>
          <w:color w:val="auto"/>
          <w:sz w:val="32"/>
          <w:szCs w:val="32"/>
          <w:lang w:val="en-US" w:eastAsia="zh-CN"/>
        </w:rPr>
        <w:t>与</w:t>
      </w:r>
      <w:r>
        <w:rPr>
          <w:rStyle w:val="14"/>
          <w:rFonts w:hint="eastAsia" w:ascii="仿宋" w:hAnsi="仿宋" w:eastAsia="仿宋" w:cs="仿宋"/>
          <w:strike w:val="0"/>
          <w:dstrike w:val="0"/>
          <w:color w:val="auto"/>
          <w:sz w:val="32"/>
          <w:szCs w:val="32"/>
          <w:lang w:eastAsia="zh-CN"/>
        </w:rPr>
        <w:t>订阅号全年发布不少于</w:t>
      </w:r>
      <w:r>
        <w:rPr>
          <w:rStyle w:val="14"/>
          <w:rFonts w:hint="eastAsia" w:ascii="仿宋" w:hAnsi="仿宋" w:eastAsia="仿宋" w:cs="仿宋"/>
          <w:strike w:val="0"/>
          <w:dstrike w:val="0"/>
          <w:color w:val="auto"/>
          <w:sz w:val="32"/>
          <w:szCs w:val="32"/>
          <w:lang w:val="en-US" w:eastAsia="zh-CN"/>
        </w:rPr>
        <w:t>160篇原创稿件</w:t>
      </w:r>
      <w:r>
        <w:rPr>
          <w:rStyle w:val="14"/>
          <w:rFonts w:hint="eastAsia" w:ascii="仿宋" w:hAnsi="仿宋" w:eastAsia="仿宋" w:cs="仿宋"/>
          <w:strike w:val="0"/>
          <w:dstrike w:val="0"/>
          <w:color w:val="auto"/>
          <w:sz w:val="32"/>
          <w:szCs w:val="32"/>
          <w:lang w:eastAsia="zh-CN"/>
        </w:rPr>
        <w:t>，可使用图文、长图、短视频、问答、内容合集等多元形式开展传播，实际发布可结合医院阶段性工作需求动态调整</w:t>
      </w:r>
      <w:r>
        <w:rPr>
          <w:rStyle w:val="14"/>
          <w:rFonts w:hint="eastAsia" w:ascii="仿宋" w:hAnsi="仿宋" w:eastAsia="仿宋" w:cs="仿宋"/>
          <w:strike w:val="0"/>
          <w:dstrike w:val="0"/>
          <w:color w:val="auto"/>
          <w:sz w:val="32"/>
          <w:szCs w:val="32"/>
          <w:lang w:val="en-US" w:eastAsia="zh-CN"/>
        </w:rPr>
        <w:t>。</w:t>
      </w:r>
    </w:p>
    <w:p w14:paraId="01CE0DB6">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highlight w:val="none"/>
          <w:lang w:eastAsia="zh-CN"/>
        </w:rPr>
      </w:pPr>
      <w:r>
        <w:rPr>
          <w:rStyle w:val="14"/>
          <w:rFonts w:hint="eastAsia" w:ascii="仿宋" w:hAnsi="仿宋" w:eastAsia="仿宋" w:cs="仿宋"/>
          <w:color w:val="auto"/>
          <w:sz w:val="32"/>
          <w:szCs w:val="32"/>
          <w:highlight w:val="none"/>
          <w:lang w:eastAsia="zh-CN"/>
        </w:rPr>
        <w:t>（</w:t>
      </w:r>
      <w:r>
        <w:rPr>
          <w:rStyle w:val="14"/>
          <w:rFonts w:hint="eastAsia" w:ascii="仿宋" w:hAnsi="仿宋" w:eastAsia="仿宋" w:cs="仿宋"/>
          <w:color w:val="auto"/>
          <w:sz w:val="32"/>
          <w:szCs w:val="32"/>
          <w:highlight w:val="none"/>
          <w:lang w:val="en-US" w:eastAsia="zh-CN"/>
        </w:rPr>
        <w:t>五</w:t>
      </w:r>
      <w:r>
        <w:rPr>
          <w:rStyle w:val="14"/>
          <w:rFonts w:hint="eastAsia" w:ascii="仿宋" w:hAnsi="仿宋" w:eastAsia="仿宋" w:cs="仿宋"/>
          <w:color w:val="auto"/>
          <w:sz w:val="32"/>
          <w:szCs w:val="32"/>
          <w:highlight w:val="none"/>
          <w:lang w:eastAsia="zh-CN"/>
        </w:rPr>
        <w:t>）量化指标</w:t>
      </w:r>
    </w:p>
    <w:p w14:paraId="3F620B7A">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投标人在实施方案中，须将下述整体指标拆解分配至服务号、订阅号，保障资源向服务号倾斜，突出主账号权重。</w:t>
      </w:r>
    </w:p>
    <w:p w14:paraId="4224362B">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 xml:space="preserve">1. </w:t>
      </w:r>
      <w:r>
        <w:rPr>
          <w:rStyle w:val="14"/>
          <w:rFonts w:hint="eastAsia" w:ascii="仿宋" w:hAnsi="仿宋" w:eastAsia="仿宋" w:cs="仿宋"/>
          <w:color w:val="auto"/>
          <w:sz w:val="32"/>
          <w:szCs w:val="32"/>
          <w:lang w:val="en-US" w:eastAsia="zh-CN"/>
        </w:rPr>
        <w:t>公众号</w:t>
      </w:r>
      <w:r>
        <w:rPr>
          <w:rStyle w:val="14"/>
          <w:rFonts w:hint="eastAsia" w:ascii="仿宋" w:hAnsi="仿宋" w:eastAsia="仿宋" w:cs="仿宋"/>
          <w:color w:val="auto"/>
          <w:sz w:val="32"/>
          <w:szCs w:val="32"/>
          <w:lang w:eastAsia="zh-CN"/>
        </w:rPr>
        <w:t>全年原创图文合计不少于 160 篇；</w:t>
      </w:r>
    </w:p>
    <w:p w14:paraId="2099909D">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 xml:space="preserve">2. </w:t>
      </w:r>
      <w:r>
        <w:rPr>
          <w:rStyle w:val="14"/>
          <w:rFonts w:hint="eastAsia" w:ascii="仿宋" w:hAnsi="仿宋" w:eastAsia="仿宋" w:cs="仿宋"/>
          <w:color w:val="auto"/>
          <w:sz w:val="32"/>
          <w:szCs w:val="32"/>
          <w:lang w:val="en-US" w:eastAsia="zh-CN"/>
        </w:rPr>
        <w:t>公众号</w:t>
      </w:r>
      <w:r>
        <w:rPr>
          <w:rStyle w:val="14"/>
          <w:rFonts w:hint="eastAsia" w:ascii="仿宋" w:hAnsi="仿宋" w:eastAsia="仿宋" w:cs="仿宋"/>
          <w:color w:val="auto"/>
          <w:sz w:val="32"/>
          <w:szCs w:val="32"/>
          <w:lang w:eastAsia="zh-CN"/>
        </w:rPr>
        <w:t>阅读量 1 万以上文章全年≥16 篇；</w:t>
      </w:r>
    </w:p>
    <w:p w14:paraId="0DD70F37">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 xml:space="preserve">3. </w:t>
      </w:r>
      <w:r>
        <w:rPr>
          <w:rStyle w:val="14"/>
          <w:rFonts w:hint="eastAsia" w:ascii="仿宋" w:hAnsi="仿宋" w:eastAsia="仿宋" w:cs="仿宋"/>
          <w:color w:val="auto"/>
          <w:sz w:val="32"/>
          <w:szCs w:val="32"/>
          <w:lang w:val="en-US" w:eastAsia="zh-CN"/>
        </w:rPr>
        <w:t>公众号</w:t>
      </w:r>
      <w:r>
        <w:rPr>
          <w:rStyle w:val="14"/>
          <w:rFonts w:hint="eastAsia" w:ascii="仿宋" w:hAnsi="仿宋" w:eastAsia="仿宋" w:cs="仿宋"/>
          <w:color w:val="auto"/>
          <w:sz w:val="32"/>
          <w:szCs w:val="32"/>
          <w:lang w:eastAsia="zh-CN"/>
        </w:rPr>
        <w:t>阅读量 5000 以上文章全年≥</w:t>
      </w:r>
      <w:r>
        <w:rPr>
          <w:rStyle w:val="14"/>
          <w:rFonts w:hint="eastAsia" w:ascii="仿宋" w:hAnsi="仿宋" w:eastAsia="仿宋" w:cs="仿宋"/>
          <w:color w:val="auto"/>
          <w:sz w:val="32"/>
          <w:szCs w:val="32"/>
          <w:lang w:val="en-US" w:eastAsia="zh-CN"/>
        </w:rPr>
        <w:t>32</w:t>
      </w:r>
      <w:r>
        <w:rPr>
          <w:rStyle w:val="14"/>
          <w:rFonts w:hint="eastAsia" w:ascii="仿宋" w:hAnsi="仿宋" w:eastAsia="仿宋" w:cs="仿宋"/>
          <w:color w:val="auto"/>
          <w:sz w:val="32"/>
          <w:szCs w:val="32"/>
          <w:lang w:eastAsia="zh-CN"/>
        </w:rPr>
        <w:t xml:space="preserve"> 篇；</w:t>
      </w:r>
    </w:p>
    <w:p w14:paraId="7F09DCFC">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4. 服务号、订阅号粉丝净增均较合同签订基准数≥10%；</w:t>
      </w:r>
    </w:p>
    <w:p w14:paraId="445104F8">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5. 重要活动采编发布全年不少于8次，含记者现场采写；</w:t>
      </w:r>
    </w:p>
    <w:p w14:paraId="540308CF">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6. 视觉物料产出：</w:t>
      </w:r>
      <w:r>
        <w:rPr>
          <w:rStyle w:val="14"/>
          <w:rFonts w:hint="eastAsia" w:ascii="仿宋" w:hAnsi="仿宋" w:eastAsia="仿宋" w:cs="仿宋"/>
          <w:color w:val="auto"/>
          <w:sz w:val="32"/>
          <w:szCs w:val="32"/>
          <w:lang w:val="en-US" w:eastAsia="zh-CN"/>
        </w:rPr>
        <w:t>重要节日、活动宣传</w:t>
      </w:r>
      <w:r>
        <w:rPr>
          <w:rStyle w:val="14"/>
          <w:rFonts w:hint="eastAsia" w:ascii="仿宋" w:hAnsi="仿宋" w:eastAsia="仿宋" w:cs="仿宋"/>
          <w:color w:val="auto"/>
          <w:sz w:val="32"/>
          <w:szCs w:val="32"/>
          <w:lang w:eastAsia="zh-CN"/>
        </w:rPr>
        <w:t>海报/长图≥24 张；</w:t>
      </w:r>
    </w:p>
    <w:p w14:paraId="3EF718B5">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7. 图文打开率：以合同签订时点导出的服务号近12个月后台历史平均打开率作为对标基线，全年平均图文打开率不低于该基线水平。</w:t>
      </w:r>
    </w:p>
    <w:p w14:paraId="06833C43">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val="en-US" w:eastAsia="zh-CN"/>
        </w:rPr>
      </w:pPr>
      <w:r>
        <w:rPr>
          <w:rStyle w:val="14"/>
          <w:rFonts w:hint="eastAsia" w:ascii="仿宋" w:hAnsi="仿宋" w:eastAsia="仿宋" w:cs="仿宋"/>
          <w:color w:val="auto"/>
          <w:sz w:val="32"/>
          <w:szCs w:val="32"/>
          <w:lang w:val="en-US" w:eastAsia="zh-CN"/>
        </w:rPr>
        <w:t>8. 互动传播指标：以合同签订时点分别导出的服务号、订阅号近12个月后台单篇平均点赞、在看、转发数据作为各账号对标基线，公众号全年图文平均点赞、在看、转发水平不低于对应基线水平。</w:t>
      </w:r>
    </w:p>
    <w:p w14:paraId="0DBD3949">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9. 运营报告：每季度提交一次《微信公众号运营情况书面报告》，内容包括但不限于：数据分析、粉丝波动、内容复盘、优化建议等，具体报告内容以院方需求为准。并提供年度总结报告。</w:t>
      </w:r>
    </w:p>
    <w:p w14:paraId="4D78EF3B">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highlight w:val="none"/>
          <w:lang w:eastAsia="zh-CN"/>
        </w:rPr>
      </w:pPr>
      <w:r>
        <w:rPr>
          <w:rStyle w:val="14"/>
          <w:rFonts w:hint="eastAsia" w:ascii="仿宋" w:hAnsi="仿宋" w:eastAsia="仿宋" w:cs="仿宋"/>
          <w:color w:val="auto"/>
          <w:sz w:val="32"/>
          <w:szCs w:val="32"/>
          <w:highlight w:val="none"/>
          <w:lang w:eastAsia="zh-CN"/>
        </w:rPr>
        <w:t>（</w:t>
      </w:r>
      <w:r>
        <w:rPr>
          <w:rStyle w:val="14"/>
          <w:rFonts w:hint="eastAsia" w:ascii="仿宋" w:hAnsi="仿宋" w:eastAsia="仿宋" w:cs="仿宋"/>
          <w:color w:val="auto"/>
          <w:sz w:val="32"/>
          <w:szCs w:val="32"/>
          <w:highlight w:val="none"/>
          <w:lang w:val="en-US" w:eastAsia="zh-CN"/>
        </w:rPr>
        <w:t>六</w:t>
      </w:r>
      <w:r>
        <w:rPr>
          <w:rStyle w:val="14"/>
          <w:rFonts w:hint="eastAsia" w:ascii="仿宋" w:hAnsi="仿宋" w:eastAsia="仿宋" w:cs="仿宋"/>
          <w:color w:val="auto"/>
          <w:sz w:val="32"/>
          <w:szCs w:val="32"/>
          <w:highlight w:val="none"/>
          <w:lang w:eastAsia="zh-CN"/>
        </w:rPr>
        <w:t>）考核重点</w:t>
      </w:r>
    </w:p>
    <w:p w14:paraId="192DFEF0">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医学科普数量与质量、医学审核通过率、专家参与度；政务新闻的时效性、准确性、政治站位；文章阅读量、点赞、在看、转发、留言、打开率；各项任务完成率；粉丝净增、取关波动情况；科普差错率、内容差错率；版权合规、医疗合规；舆情响应处置；不得发布医疗广告，杜绝夸大疗效、绝对化用语，科普内容需规范标注风险提示。</w:t>
      </w:r>
    </w:p>
    <w:p w14:paraId="2D92BDC6">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default" w:ascii="仿宋" w:hAnsi="仿宋" w:eastAsia="仿宋" w:cs="仿宋"/>
          <w:color w:val="auto"/>
          <w:sz w:val="32"/>
          <w:szCs w:val="32"/>
          <w:lang w:val="en-US" w:eastAsia="zh-CN"/>
        </w:rPr>
      </w:pPr>
      <w:r>
        <w:rPr>
          <w:rStyle w:val="14"/>
          <w:rFonts w:hint="eastAsia" w:ascii="仿宋" w:hAnsi="仿宋" w:eastAsia="仿宋" w:cs="仿宋"/>
          <w:color w:val="auto"/>
          <w:sz w:val="32"/>
          <w:szCs w:val="32"/>
          <w:lang w:eastAsia="zh-CN"/>
        </w:rPr>
        <w:t>（</w:t>
      </w:r>
      <w:r>
        <w:rPr>
          <w:rStyle w:val="14"/>
          <w:rFonts w:hint="eastAsia" w:ascii="仿宋" w:hAnsi="仿宋" w:eastAsia="仿宋" w:cs="仿宋"/>
          <w:color w:val="auto"/>
          <w:sz w:val="32"/>
          <w:szCs w:val="32"/>
          <w:lang w:val="en-US" w:eastAsia="zh-CN"/>
        </w:rPr>
        <w:t>七</w:t>
      </w:r>
      <w:r>
        <w:rPr>
          <w:rStyle w:val="14"/>
          <w:rFonts w:hint="eastAsia" w:ascii="仿宋" w:hAnsi="仿宋" w:eastAsia="仿宋" w:cs="仿宋"/>
          <w:color w:val="auto"/>
          <w:sz w:val="32"/>
          <w:szCs w:val="32"/>
          <w:lang w:eastAsia="zh-CN"/>
        </w:rPr>
        <w:t>）响应</w:t>
      </w:r>
      <w:r>
        <w:rPr>
          <w:rStyle w:val="14"/>
          <w:rFonts w:hint="eastAsia" w:ascii="仿宋" w:hAnsi="仿宋" w:eastAsia="仿宋" w:cs="仿宋"/>
          <w:color w:val="auto"/>
          <w:sz w:val="32"/>
          <w:szCs w:val="32"/>
          <w:lang w:val="en-US" w:eastAsia="zh-CN"/>
        </w:rPr>
        <w:t>要求</w:t>
      </w:r>
    </w:p>
    <w:p w14:paraId="3A9C28F9">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1. 工作日</w:t>
      </w:r>
      <w:r>
        <w:rPr>
          <w:rStyle w:val="14"/>
          <w:rFonts w:hint="eastAsia" w:ascii="仿宋" w:hAnsi="仿宋" w:eastAsia="仿宋" w:cs="仿宋"/>
          <w:color w:val="auto"/>
          <w:sz w:val="32"/>
          <w:szCs w:val="32"/>
          <w:lang w:val="en-US" w:eastAsia="zh-CN"/>
        </w:rPr>
        <w:t>0.5</w:t>
      </w:r>
      <w:r>
        <w:rPr>
          <w:rStyle w:val="14"/>
          <w:rFonts w:hint="eastAsia" w:ascii="仿宋" w:hAnsi="仿宋" w:eastAsia="仿宋" w:cs="仿宋"/>
          <w:color w:val="auto"/>
          <w:sz w:val="32"/>
          <w:szCs w:val="32"/>
          <w:lang w:eastAsia="zh-CN"/>
        </w:rPr>
        <w:t>小时内响应院方需求；</w:t>
      </w:r>
    </w:p>
    <w:p w14:paraId="3C98AB6E">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2. 紧急涉医舆情30分钟内向院方报告，未经院方书面同意不得擅自对外回应；</w:t>
      </w:r>
    </w:p>
    <w:p w14:paraId="30D63529">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3. 重要活动24小时内完成稿件产出；</w:t>
      </w:r>
    </w:p>
    <w:p w14:paraId="72150A03">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4. 所有发布内容执行三审三校：乙方初审、项目负责人复审、甲方终审；医学相关内容须经对应科室或专家审核；</w:t>
      </w:r>
    </w:p>
    <w:p w14:paraId="0E7BACE0">
      <w:pPr>
        <w:keepNext w:val="0"/>
        <w:keepLines w:val="0"/>
        <w:pageBreakBefore w:val="0"/>
        <w:widowControl w:val="0"/>
        <w:shd w:val="clear" w:color="auto" w:fill="FFFFFF"/>
        <w:kinsoku/>
        <w:wordWrap/>
        <w:overflowPunct/>
        <w:topLinePunct w:val="0"/>
        <w:autoSpaceDE/>
        <w:autoSpaceDN/>
        <w:bidi w:val="0"/>
        <w:adjustRightInd/>
        <w:snapToGrid/>
        <w:spacing w:line="540" w:lineRule="exact"/>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5. 未经院方终审及书面同意，乙方不得擅自发布内容、回复用户留言、修改菜单栏、修改自动回复。</w:t>
      </w:r>
    </w:p>
    <w:p w14:paraId="33E562EC">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540" w:lineRule="exac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四、项目运营维护基本要求</w:t>
      </w:r>
    </w:p>
    <w:p w14:paraId="5A9B20D7">
      <w:pPr>
        <w:keepNext w:val="0"/>
        <w:keepLines w:val="0"/>
        <w:pageBreakBefore w:val="0"/>
        <w:widowControl w:val="0"/>
        <w:numPr>
          <w:ilvl w:val="0"/>
          <w:numId w:val="2"/>
        </w:numPr>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充分了解医疗相关微信公众号运营、维护、推广的需求。</w:t>
      </w:r>
    </w:p>
    <w:p w14:paraId="21B5DD9C">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参与单位须有丰富的微信公众号运营推广经验，熟悉医疗健康、政务新媒体传播规律。</w:t>
      </w:r>
    </w:p>
    <w:p w14:paraId="4CABA1A2">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参与单位需制作一份完整的微信运维项目实施方案参与项目讲解，并对方案做出报价。</w:t>
      </w:r>
      <w:r>
        <w:rPr>
          <w:rFonts w:hint="eastAsia" w:ascii="仿宋" w:hAnsi="仿宋" w:eastAsia="仿宋" w:cs="仿宋"/>
          <w:color w:val="auto"/>
          <w:sz w:val="32"/>
          <w:szCs w:val="32"/>
          <w:lang w:val="en-US" w:eastAsia="zh-CN"/>
        </w:rPr>
        <w:t>讲解方案内容包括但不限于公众号定位分析等具体实施情况与预期成果展示。</w:t>
      </w:r>
    </w:p>
    <w:p w14:paraId="0129FF7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参与单位必须提供原创性的微信运维项目实施方案，若因此引起的知识产权纠纷，中标单位负全部责任，并赔偿院方因此可能造成的一切损失。</w:t>
      </w:r>
    </w:p>
    <w:p w14:paraId="549AD794">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项目拟投入的团队人员情况，论证时提供。</w:t>
      </w:r>
    </w:p>
    <w:p w14:paraId="5EA30D15">
      <w:pPr>
        <w:keepNext w:val="0"/>
        <w:keepLines w:val="0"/>
        <w:pageBreakBefore w:val="0"/>
        <w:widowControl w:val="0"/>
        <w:numPr>
          <w:ilvl w:val="0"/>
          <w:numId w:val="2"/>
        </w:numPr>
        <w:kinsoku/>
        <w:wordWrap/>
        <w:overflowPunct/>
        <w:topLinePunct w:val="0"/>
        <w:autoSpaceDE/>
        <w:autoSpaceDN/>
        <w:bidi w:val="0"/>
        <w:adjustRightInd/>
        <w:snapToGrid/>
        <w:spacing w:line="540" w:lineRule="exact"/>
        <w:ind w:left="0" w:leftChars="0" w:firstLine="0" w:firstLineChars="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项目成功案例介绍：近三年中标标书、方案参考，包括近三年成交价格（合同或中标通知书复印件并加盖</w:t>
      </w:r>
      <w:r>
        <w:rPr>
          <w:rFonts w:hint="eastAsia" w:ascii="仿宋" w:hAnsi="仿宋" w:eastAsia="仿宋" w:cs="仿宋"/>
          <w:color w:val="auto"/>
          <w:sz w:val="32"/>
          <w:szCs w:val="32"/>
          <w:lang w:val="en-US" w:eastAsia="zh-CN"/>
        </w:rPr>
        <w:t>单位公</w:t>
      </w:r>
      <w:r>
        <w:rPr>
          <w:rFonts w:hint="eastAsia" w:ascii="仿宋" w:hAnsi="仿宋" w:eastAsia="仿宋" w:cs="仿宋"/>
          <w:color w:val="auto"/>
          <w:sz w:val="32"/>
          <w:szCs w:val="32"/>
        </w:rPr>
        <w:t>章，论证时提供）。</w:t>
      </w:r>
    </w:p>
    <w:p w14:paraId="29B78BD4">
      <w:pPr>
        <w:keepNext w:val="0"/>
        <w:keepLines w:val="0"/>
        <w:pageBreakBefore w:val="0"/>
        <w:widowControl w:val="0"/>
        <w:kinsoku/>
        <w:wordWrap/>
        <w:overflowPunct/>
        <w:topLinePunct w:val="0"/>
        <w:autoSpaceDE/>
        <w:autoSpaceDN/>
        <w:bidi w:val="0"/>
        <w:adjustRightInd/>
        <w:snapToGrid/>
        <w:spacing w:before="313" w:beforeLines="100" w:line="54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五、资质要求</w:t>
      </w:r>
    </w:p>
    <w:p w14:paraId="6F14E93E">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 具有政务新媒体主管主办单位的下属企事业单位，或主流新闻媒体、主流新闻网站资质的单位可以进行报名。</w:t>
      </w:r>
    </w:p>
    <w:p w14:paraId="648C30B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 具有独立法人资格和履行合同能力，提供营业执照或事业单位法人证等法人证明扫描件，原件备查。</w:t>
      </w:r>
    </w:p>
    <w:p w14:paraId="1773483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黑体" w:hAnsi="黑体" w:eastAsia="黑体" w:cs="黑体"/>
          <w:color w:val="auto"/>
          <w:sz w:val="32"/>
          <w:szCs w:val="32"/>
          <w:lang w:val="en-US" w:eastAsia="zh-CN"/>
        </w:rPr>
      </w:pPr>
      <w:r>
        <w:rPr>
          <w:rFonts w:hint="eastAsia" w:ascii="仿宋" w:hAnsi="仿宋" w:eastAsia="仿宋" w:cs="仿宋"/>
          <w:color w:val="auto"/>
          <w:sz w:val="32"/>
          <w:szCs w:val="32"/>
          <w:lang w:val="en-US" w:eastAsia="zh-CN"/>
        </w:rPr>
        <w:t>3. 投标单位经营范围涉及宣传、策划、广告、新闻等业务中的一项均视为满足要求。</w:t>
      </w:r>
    </w:p>
    <w:p w14:paraId="734B5AF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 近三年无重大违法记录，未被“信用中国”列入失信被执行人、重大税收违法案件当事人名单、政府采购严重违法失信行为记录名单。</w:t>
      </w:r>
    </w:p>
    <w:p w14:paraId="543EEF28">
      <w:pPr>
        <w:keepNext w:val="0"/>
        <w:keepLines w:val="0"/>
        <w:pageBreakBefore w:val="0"/>
        <w:widowControl w:val="0"/>
        <w:kinsoku/>
        <w:wordWrap/>
        <w:overflowPunct/>
        <w:topLinePunct w:val="0"/>
        <w:autoSpaceDE/>
        <w:autoSpaceDN/>
        <w:bidi w:val="0"/>
        <w:adjustRightInd/>
        <w:snapToGrid/>
        <w:spacing w:before="313" w:beforeLines="100" w:line="540" w:lineRule="exac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六、人员要求</w:t>
      </w:r>
    </w:p>
    <w:p w14:paraId="0AEC8AE8">
      <w:pPr>
        <w:keepNext w:val="0"/>
        <w:keepLines w:val="0"/>
        <w:pageBreakBefore w:val="0"/>
        <w:widowControl w:val="0"/>
        <w:shd w:val="clear" w:color="auto" w:fill="FFFFFF"/>
        <w:kinsoku/>
        <w:wordWrap/>
        <w:overflowPunct/>
        <w:topLinePunct w:val="0"/>
        <w:autoSpaceDE/>
        <w:autoSpaceDN/>
        <w:bidi w:val="0"/>
        <w:adjustRightInd/>
        <w:snapToGrid/>
        <w:spacing w:line="540" w:lineRule="exact"/>
        <w:ind w:firstLine="640" w:firstLineChars="200"/>
        <w:textAlignment w:val="auto"/>
        <w:rPr>
          <w:rStyle w:val="14"/>
          <w:rFonts w:hint="eastAsia" w:ascii="仿宋" w:hAnsi="仿宋" w:eastAsia="仿宋" w:cs="仿宋"/>
          <w:color w:val="auto"/>
          <w:sz w:val="32"/>
          <w:szCs w:val="32"/>
          <w:lang w:eastAsia="zh-CN"/>
        </w:rPr>
      </w:pPr>
      <w:r>
        <w:rPr>
          <w:rStyle w:val="14"/>
          <w:rFonts w:hint="eastAsia" w:ascii="仿宋" w:hAnsi="仿宋" w:eastAsia="仿宋" w:cs="仿宋"/>
          <w:color w:val="auto"/>
          <w:sz w:val="32"/>
          <w:szCs w:val="32"/>
          <w:lang w:eastAsia="zh-CN"/>
        </w:rPr>
        <w:t>组建</w:t>
      </w:r>
      <w:r>
        <w:rPr>
          <w:rStyle w:val="14"/>
          <w:rFonts w:hint="eastAsia" w:ascii="仿宋" w:hAnsi="仿宋" w:eastAsia="仿宋" w:cs="仿宋"/>
          <w:color w:val="auto"/>
          <w:sz w:val="32"/>
          <w:szCs w:val="32"/>
          <w:lang w:val="en-US" w:eastAsia="zh-CN"/>
        </w:rPr>
        <w:t>公众号</w:t>
      </w:r>
      <w:r>
        <w:rPr>
          <w:rStyle w:val="14"/>
          <w:rFonts w:hint="eastAsia" w:ascii="仿宋" w:hAnsi="仿宋" w:eastAsia="仿宋" w:cs="仿宋"/>
          <w:color w:val="auto"/>
          <w:sz w:val="32"/>
          <w:szCs w:val="32"/>
          <w:lang w:eastAsia="zh-CN"/>
        </w:rPr>
        <w:t>运营团队，明确两个账号的专职编辑及责任人，以服务号为重点配置人力，未经甲方书面许可不得随意更换核心人员，擅自更换核心人员按合同约定扣款或终止合同。</w:t>
      </w:r>
    </w:p>
    <w:p w14:paraId="06CD7ED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 配备专业的微信运营团队，指定专职微信编辑运营微信公众号，包含采写、编辑和后台维护等。</w:t>
      </w:r>
    </w:p>
    <w:p w14:paraId="04496129">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 项目团队工作人员须包括项目负责人、采写记者、微信编辑、视觉优化设计、数据分析、舆情人员等。</w:t>
      </w:r>
    </w:p>
    <w:p w14:paraId="73775AF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 团队成员须具备本科及以上学历；团队中至少2人持有新闻采编资格证、记者证或其他媒体从业资格证。</w:t>
      </w:r>
    </w:p>
    <w:p w14:paraId="1B2029A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 项目负责人应具有5年以上新媒体或医疗宣传经验；专职编辑应具有3年以上微信公众号运营经验。</w:t>
      </w:r>
    </w:p>
    <w:p w14:paraId="16FB144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 须指定服务号专职编辑、订阅号专职编辑或明确责任人，未经甲方同意不得随意更换核心人员。擅自更换核心人员的，按合同约定扣款或终止合同。</w:t>
      </w:r>
    </w:p>
    <w:p w14:paraId="4FDD8AA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 提供人员简历、学历证书、资格证书、社保证明及代表作品。</w:t>
      </w:r>
    </w:p>
    <w:p w14:paraId="34A5BB5A">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驻点人员须具备3年及以上医疗或政务新媒体采编运营经验，可独立完成采写排版，熟悉公众号后台及医疗宣传合规要求，能够对接科室与专家；负责现场沟通采访、素材收集、稿件编辑初审、送审对接，参与例会及重大活动，响应临时宣传任务，协助甄别上报舆情线索；供应商投标需提供该人员简历、学历、社保证明及代表作品，上岗材料须经院方审核确认。</w:t>
      </w:r>
    </w:p>
    <w:p w14:paraId="4228F965">
      <w:pPr>
        <w:keepNext w:val="0"/>
        <w:keepLines w:val="0"/>
        <w:pageBreakBefore w:val="0"/>
        <w:widowControl w:val="0"/>
        <w:kinsoku/>
        <w:wordWrap/>
        <w:overflowPunct/>
        <w:topLinePunct w:val="0"/>
        <w:autoSpaceDE/>
        <w:autoSpaceDN/>
        <w:bidi w:val="0"/>
        <w:adjustRightInd/>
        <w:snapToGrid/>
        <w:spacing w:before="313" w:beforeLines="100" w:line="540" w:lineRule="exact"/>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七、账号管理、知识产权、保密与医疗合规</w:t>
      </w:r>
    </w:p>
    <w:p w14:paraId="7FF72F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仿宋" w:hAnsi="仿宋" w:eastAsia="仿宋" w:cs="仿宋"/>
          <w:color w:val="auto"/>
          <w:sz w:val="32"/>
          <w:szCs w:val="32"/>
          <w:lang w:val="en-US" w:eastAsia="zh-CN"/>
        </w:rPr>
        <w:t>公众号主体、粉丝、数据、内容、素材归医院所有。医院保留管理员权限，乙方不得修改主体信息，不得擅自发布、回复、修改菜单栏。</w:t>
      </w:r>
    </w:p>
    <w:p w14:paraId="4A3A5B7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所有成果知识产权归医院，乙方须移交源文件、素材库、数据。</w:t>
      </w:r>
    </w:p>
    <w:p w14:paraId="380B105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乙方保证图片、字体、音乐、视频、AI素材不侵权，侵权由乙方全部赔偿。</w:t>
      </w:r>
    </w:p>
    <w:p w14:paraId="046E94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乙方不得泄露患者信息、诊疗数据、内部文件；医生出镜、患者案例须书面授权。</w:t>
      </w:r>
    </w:p>
    <w:p w14:paraId="2B4E357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乙方发现涉医舆情30分钟内报告，未经医院书面同意，不得擅自回应。</w:t>
      </w:r>
    </w:p>
    <w:p w14:paraId="7E2ADFB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仿宋" w:hAnsi="仿宋" w:eastAsia="仿宋" w:cs="仿宋"/>
          <w:color w:val="auto"/>
          <w:sz w:val="32"/>
          <w:szCs w:val="32"/>
          <w:lang w:val="en-US" w:eastAsia="zh-CN"/>
        </w:rPr>
        <w:t>不得发布医疗广告，不得夸大疗效、使用绝对化用语。</w:t>
      </w:r>
    </w:p>
    <w:p w14:paraId="347CA82F">
      <w:pPr>
        <w:keepNext w:val="0"/>
        <w:keepLines w:val="0"/>
        <w:pageBreakBefore w:val="0"/>
        <w:widowControl w:val="0"/>
        <w:kinsoku/>
        <w:wordWrap/>
        <w:overflowPunct/>
        <w:topLinePunct w:val="0"/>
        <w:autoSpaceDE/>
        <w:autoSpaceDN/>
        <w:bidi w:val="0"/>
        <w:adjustRightInd/>
        <w:snapToGrid/>
        <w:spacing w:before="313" w:beforeLines="100" w:line="540" w:lineRule="exact"/>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八</w:t>
      </w:r>
      <w:bookmarkStart w:id="0" w:name="_GoBack"/>
      <w:bookmarkEnd w:id="0"/>
      <w:r>
        <w:rPr>
          <w:rFonts w:hint="eastAsia" w:ascii="黑体" w:hAnsi="黑体" w:eastAsia="黑体" w:cs="黑体"/>
          <w:color w:val="auto"/>
          <w:kern w:val="2"/>
          <w:sz w:val="32"/>
          <w:szCs w:val="32"/>
          <w:lang w:val="en-US" w:eastAsia="zh-CN" w:bidi="ar-SA"/>
        </w:rPr>
        <w:t>、服务期限要求</w:t>
      </w:r>
    </w:p>
    <w:p w14:paraId="203ACD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自合同签订之日起365个日历日（12个月）。</w:t>
      </w:r>
    </w:p>
    <w:p w14:paraId="7A28C2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本项目为长期服务类项目，第一年为本次招标的中标服务期限，招标人可根据项目需要和中标供应商的履约情况确定合同期限是否延长，但最长不超过三年。</w:t>
      </w:r>
    </w:p>
    <w:p w14:paraId="48C526A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合同期满或终止，乙方须在30日内完成账号、素材、源文件、数据、未发布内容交接。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9D5EE4-677A-4D78-8826-2438B49366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917EB801-CF24-47CB-A624-CA3019259B41}"/>
  </w:font>
  <w:font w:name="方正小标宋_GBK">
    <w:panose1 w:val="02000000000000000000"/>
    <w:charset w:val="86"/>
    <w:family w:val="script"/>
    <w:pitch w:val="default"/>
    <w:sig w:usb0="A00002BF" w:usb1="38CF7CFA" w:usb2="00082016" w:usb3="00000000" w:csb0="00040001" w:csb1="00000000"/>
    <w:embedRegular r:id="rId3" w:fontKey="{B013A33C-DEA7-404F-962C-45D5D5EE44D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689791"/>
    <w:multiLevelType w:val="singleLevel"/>
    <w:tmpl w:val="1F689791"/>
    <w:lvl w:ilvl="0" w:tentative="0">
      <w:start w:val="1"/>
      <w:numFmt w:val="decimal"/>
      <w:suff w:val="space"/>
      <w:lvlText w:val="%1."/>
      <w:lvlJc w:val="left"/>
    </w:lvl>
  </w:abstractNum>
  <w:abstractNum w:abstractNumId="1">
    <w:nsid w:val="1FEBC2CE"/>
    <w:multiLevelType w:val="singleLevel"/>
    <w:tmpl w:val="1FEBC2C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0NDdiZWYwMzAwNGI5M2JjOTdhZTQ4ZDlkMTk0ODUifQ=="/>
  </w:docVars>
  <w:rsids>
    <w:rsidRoot w:val="004E242C"/>
    <w:rsid w:val="004E242C"/>
    <w:rsid w:val="00524C88"/>
    <w:rsid w:val="00537C28"/>
    <w:rsid w:val="00E023B2"/>
    <w:rsid w:val="01924B58"/>
    <w:rsid w:val="01D15A1D"/>
    <w:rsid w:val="021A6C4F"/>
    <w:rsid w:val="02BD3F60"/>
    <w:rsid w:val="03716AB5"/>
    <w:rsid w:val="038921D4"/>
    <w:rsid w:val="03A74512"/>
    <w:rsid w:val="04A82424"/>
    <w:rsid w:val="054006D5"/>
    <w:rsid w:val="05AE1BBC"/>
    <w:rsid w:val="06473D8B"/>
    <w:rsid w:val="067E2C76"/>
    <w:rsid w:val="06942E5A"/>
    <w:rsid w:val="09DE7811"/>
    <w:rsid w:val="09F93DAC"/>
    <w:rsid w:val="0AB453E0"/>
    <w:rsid w:val="0AB614DF"/>
    <w:rsid w:val="0D7A2C98"/>
    <w:rsid w:val="10623562"/>
    <w:rsid w:val="10BA4D47"/>
    <w:rsid w:val="114D23C1"/>
    <w:rsid w:val="12105979"/>
    <w:rsid w:val="14522278"/>
    <w:rsid w:val="17FF6273"/>
    <w:rsid w:val="197B2C18"/>
    <w:rsid w:val="1A9D581B"/>
    <w:rsid w:val="1B737891"/>
    <w:rsid w:val="1D4D7A81"/>
    <w:rsid w:val="1DB437DD"/>
    <w:rsid w:val="1F8001E6"/>
    <w:rsid w:val="23D41276"/>
    <w:rsid w:val="23EA28CC"/>
    <w:rsid w:val="28637626"/>
    <w:rsid w:val="2A0E120D"/>
    <w:rsid w:val="2B035C23"/>
    <w:rsid w:val="2C1C51EE"/>
    <w:rsid w:val="2C22657D"/>
    <w:rsid w:val="2EC0206E"/>
    <w:rsid w:val="2ED7050D"/>
    <w:rsid w:val="306058C5"/>
    <w:rsid w:val="32737B32"/>
    <w:rsid w:val="32F66E01"/>
    <w:rsid w:val="33673F3A"/>
    <w:rsid w:val="36806379"/>
    <w:rsid w:val="37130A94"/>
    <w:rsid w:val="38BB5D8F"/>
    <w:rsid w:val="39E353D5"/>
    <w:rsid w:val="3A217C55"/>
    <w:rsid w:val="3AD9074E"/>
    <w:rsid w:val="3B464036"/>
    <w:rsid w:val="3D351B7B"/>
    <w:rsid w:val="3DE23359"/>
    <w:rsid w:val="3DE6740A"/>
    <w:rsid w:val="3E947539"/>
    <w:rsid w:val="3EFA152D"/>
    <w:rsid w:val="400B51D0"/>
    <w:rsid w:val="416F18D8"/>
    <w:rsid w:val="420D42ED"/>
    <w:rsid w:val="423F79A0"/>
    <w:rsid w:val="425B7BEB"/>
    <w:rsid w:val="451F76A5"/>
    <w:rsid w:val="47797541"/>
    <w:rsid w:val="47F82926"/>
    <w:rsid w:val="47FD2F18"/>
    <w:rsid w:val="4A06089B"/>
    <w:rsid w:val="4A1E617D"/>
    <w:rsid w:val="4C0F3FD0"/>
    <w:rsid w:val="4CBC1C26"/>
    <w:rsid w:val="4F8922EB"/>
    <w:rsid w:val="50010670"/>
    <w:rsid w:val="506863A4"/>
    <w:rsid w:val="50DE6667"/>
    <w:rsid w:val="51782B4A"/>
    <w:rsid w:val="5185454F"/>
    <w:rsid w:val="51991C0C"/>
    <w:rsid w:val="52304CA0"/>
    <w:rsid w:val="528C52EF"/>
    <w:rsid w:val="532145E9"/>
    <w:rsid w:val="53C102A5"/>
    <w:rsid w:val="555370AA"/>
    <w:rsid w:val="5790227B"/>
    <w:rsid w:val="57F535F0"/>
    <w:rsid w:val="58A91F80"/>
    <w:rsid w:val="59CA59DA"/>
    <w:rsid w:val="5CBD2118"/>
    <w:rsid w:val="5CEB4A45"/>
    <w:rsid w:val="5F530220"/>
    <w:rsid w:val="5F5C70D4"/>
    <w:rsid w:val="5FB85470"/>
    <w:rsid w:val="61FE0917"/>
    <w:rsid w:val="62CC5CA6"/>
    <w:rsid w:val="66A870A3"/>
    <w:rsid w:val="6708185D"/>
    <w:rsid w:val="67AD59D0"/>
    <w:rsid w:val="68DE0B5A"/>
    <w:rsid w:val="6917388C"/>
    <w:rsid w:val="6A425119"/>
    <w:rsid w:val="6B680BAF"/>
    <w:rsid w:val="6C2C4242"/>
    <w:rsid w:val="6C506233"/>
    <w:rsid w:val="6CA51909"/>
    <w:rsid w:val="6DB63E53"/>
    <w:rsid w:val="7101188A"/>
    <w:rsid w:val="71530B04"/>
    <w:rsid w:val="71B6554E"/>
    <w:rsid w:val="7202069F"/>
    <w:rsid w:val="73984B18"/>
    <w:rsid w:val="76DA0BCE"/>
    <w:rsid w:val="77643E7F"/>
    <w:rsid w:val="78CE2508"/>
    <w:rsid w:val="793F5645"/>
    <w:rsid w:val="79584959"/>
    <w:rsid w:val="79C30024"/>
    <w:rsid w:val="7A026B06"/>
    <w:rsid w:val="7BD610C7"/>
    <w:rsid w:val="7C3639F5"/>
    <w:rsid w:val="7C613B24"/>
    <w:rsid w:val="7EF33E90"/>
    <w:rsid w:val="7F673200"/>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9"/>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9"/>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customStyle="1" w:styleId="14">
    <w:name w:val="grame"/>
    <w:qFormat/>
    <w:uiPriority w:val="0"/>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3744</Words>
  <Characters>3813</Characters>
  <Lines>9</Lines>
  <Paragraphs>2</Paragraphs>
  <TotalTime>149</TotalTime>
  <ScaleCrop>false</ScaleCrop>
  <LinksUpToDate>false</LinksUpToDate>
  <CharactersWithSpaces>3856</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2022-02-17T09:04:00Z</dcterms:created>
  <dc:creator>Administrator</dc:creator>
  <cp:lastModifiedBy>wn Cai</cp:lastModifiedBy>
  <cp:lastPrinted>2026-09-22T05:58:31Z</cp:lastPrinted>
  <dcterms:modified xsi:type="dcterms:W3CDTF">2026-09-22T05:59:34Z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1DE6F7DDD08D44E182D7730A9E44BAAB_13</vt:lpwstr>
  </property>
  <property fmtid="{D5CDD505-2E9C-101B-9397-08002B2CF9AE}" pid="4" name="KSOTemplateDocerSaveRecord">
    <vt:lpwstr>eyJoZGlkIjoiYWZkZmU5ZGI0ODg1NTA3NzBjYjU5OGVkNmFkMmRmNWUiLCJ1c2VySWQiOiIyNDY5MTQ4MDEifQ==</vt:lpwstr>
  </property>
</Properties>
</file>