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pPr w:leftFromText="180" w:rightFromText="180" w:vertAnchor="text" w:tblpXSpec="center" w:tblpY="1"/>
        <w:tblOverlap w:val="never"/>
        <w:tblW w:w="899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63"/>
        <w:gridCol w:w="1612"/>
        <w:gridCol w:w="6419"/>
      </w:tblGrid>
      <w:tr w14:paraId="166A8E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63" w:type="dxa"/>
            <w:tcBorders>
              <w:tl2br w:val="nil"/>
              <w:tr2bl w:val="nil"/>
            </w:tcBorders>
            <w:vAlign w:val="center"/>
          </w:tcPr>
          <w:p w14:paraId="117C58AB">
            <w:pPr>
              <w:keepNext w:val="0"/>
              <w:keepLines w:val="0"/>
              <w:widowControl/>
              <w:suppressLineNumbers w:val="0"/>
              <w:spacing w:before="0" w:beforeAutospacing="0" w:after="0" w:afterAutospacing="0" w:line="460" w:lineRule="atLeast"/>
              <w:ind w:left="0" w:right="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序号</w:t>
            </w:r>
          </w:p>
        </w:tc>
        <w:tc>
          <w:tcPr>
            <w:tcW w:w="1612" w:type="dxa"/>
            <w:tcBorders>
              <w:tl2br w:val="nil"/>
              <w:tr2bl w:val="nil"/>
            </w:tcBorders>
            <w:vAlign w:val="center"/>
          </w:tcPr>
          <w:p w14:paraId="0D4BC30B">
            <w:pPr>
              <w:keepNext w:val="0"/>
              <w:keepLines w:val="0"/>
              <w:widowControl/>
              <w:suppressLineNumbers w:val="0"/>
              <w:spacing w:before="0" w:beforeAutospacing="0" w:after="0" w:afterAutospacing="0" w:line="460" w:lineRule="atLeast"/>
              <w:ind w:left="0" w:right="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目录</w:t>
            </w:r>
          </w:p>
        </w:tc>
        <w:tc>
          <w:tcPr>
            <w:tcW w:w="6419" w:type="dxa"/>
            <w:tcBorders>
              <w:tl2br w:val="nil"/>
              <w:tr2bl w:val="nil"/>
            </w:tcBorders>
            <w:vAlign w:val="center"/>
          </w:tcPr>
          <w:p w14:paraId="3C14FD3D">
            <w:pPr>
              <w:keepNext w:val="0"/>
              <w:keepLines w:val="0"/>
              <w:widowControl/>
              <w:suppressLineNumbers w:val="0"/>
              <w:spacing w:before="0" w:beforeAutospacing="0" w:after="0" w:afterAutospacing="0" w:line="460" w:lineRule="atLeast"/>
              <w:ind w:left="0" w:right="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商务需求</w:t>
            </w:r>
          </w:p>
        </w:tc>
      </w:tr>
      <w:tr w14:paraId="4B8D92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94" w:type="dxa"/>
            <w:gridSpan w:val="3"/>
            <w:tcBorders>
              <w:tl2br w:val="nil"/>
              <w:tr2bl w:val="nil"/>
            </w:tcBorders>
            <w:vAlign w:val="top"/>
          </w:tcPr>
          <w:p w14:paraId="7B58A033">
            <w:pPr>
              <w:keepNext w:val="0"/>
              <w:keepLines w:val="0"/>
              <w:suppressLineNumbers w:val="0"/>
              <w:spacing w:before="0" w:beforeAutospacing="0" w:after="0" w:afterAutospacing="0" w:line="460" w:lineRule="atLeast"/>
              <w:ind w:left="0" w:right="0"/>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（一）免费保修期内售后服务要求</w:t>
            </w:r>
          </w:p>
        </w:tc>
      </w:tr>
      <w:tr w14:paraId="39865B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63" w:type="dxa"/>
            <w:tcBorders>
              <w:tl2br w:val="nil"/>
              <w:tr2bl w:val="nil"/>
            </w:tcBorders>
            <w:vAlign w:val="center"/>
          </w:tcPr>
          <w:p w14:paraId="3144B434">
            <w:pPr>
              <w:keepNext w:val="0"/>
              <w:keepLines w:val="0"/>
              <w:suppressLineNumbers w:val="0"/>
              <w:spacing w:before="0" w:beforeAutospacing="0" w:after="0" w:afterAutospacing="0" w:line="460" w:lineRule="atLeast"/>
              <w:ind w:left="0" w:right="0"/>
              <w:jc w:val="cente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1</w:t>
            </w:r>
          </w:p>
        </w:tc>
        <w:tc>
          <w:tcPr>
            <w:tcW w:w="1612" w:type="dxa"/>
            <w:tcBorders>
              <w:tl2br w:val="nil"/>
              <w:tr2bl w:val="nil"/>
            </w:tcBorders>
            <w:vAlign w:val="center"/>
          </w:tcPr>
          <w:p w14:paraId="1910A19E">
            <w:pPr>
              <w:keepNext w:val="0"/>
              <w:keepLines w:val="0"/>
              <w:suppressLineNumbers w:val="0"/>
              <w:spacing w:before="0" w:beforeAutospacing="0" w:after="0" w:afterAutospacing="0" w:line="460" w:lineRule="atLeast"/>
              <w:ind w:left="0" w:right="0"/>
              <w:jc w:val="center"/>
              <w:rPr>
                <w:rFonts w:hint="eastAsia" w:ascii="宋体" w:hAnsi="宋体" w:eastAsia="宋体" w:cs="宋体"/>
                <w:b w:val="0"/>
                <w:bCs/>
                <w:color w:val="auto"/>
                <w:sz w:val="21"/>
                <w:szCs w:val="21"/>
                <w:highlight w:val="none"/>
              </w:rPr>
            </w:pPr>
            <w:r>
              <w:rPr>
                <w:rFonts w:hint="eastAsia" w:ascii="宋体" w:hAnsi="宋体" w:eastAsia="宋体" w:cs="宋体"/>
                <w:b w:val="0"/>
                <w:bCs/>
                <w:color w:val="auto"/>
                <w:kern w:val="0"/>
                <w:sz w:val="21"/>
                <w:szCs w:val="21"/>
                <w:highlight w:val="none"/>
              </w:rPr>
              <w:t>★</w:t>
            </w:r>
            <w:r>
              <w:rPr>
                <w:rFonts w:hint="eastAsia" w:ascii="宋体" w:hAnsi="宋体" w:eastAsia="宋体" w:cs="宋体"/>
                <w:b w:val="0"/>
                <w:bCs/>
                <w:color w:val="auto"/>
                <w:sz w:val="21"/>
                <w:szCs w:val="21"/>
                <w:highlight w:val="none"/>
              </w:rPr>
              <w:t>免费质保期</w:t>
            </w:r>
          </w:p>
        </w:tc>
        <w:tc>
          <w:tcPr>
            <w:tcW w:w="6419" w:type="dxa"/>
            <w:tcBorders>
              <w:tl2br w:val="nil"/>
              <w:tr2bl w:val="nil"/>
            </w:tcBorders>
            <w:vAlign w:val="center"/>
          </w:tcPr>
          <w:p w14:paraId="343ABAB6">
            <w:pPr>
              <w:keepNext w:val="0"/>
              <w:keepLines w:val="0"/>
              <w:suppressLineNumbers w:val="0"/>
              <w:spacing w:before="0" w:beforeAutospacing="0" w:after="0" w:afterAutospacing="0" w:line="240" w:lineRule="auto"/>
              <w:ind w:left="0" w:right="0"/>
              <w:jc w:val="both"/>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货物免费质保期</w:t>
            </w:r>
            <w:r>
              <w:rPr>
                <w:rFonts w:hint="eastAsia" w:ascii="宋体" w:hAnsi="宋体" w:eastAsia="宋体" w:cs="宋体"/>
                <w:color w:val="auto"/>
                <w:kern w:val="0"/>
                <w:sz w:val="21"/>
                <w:szCs w:val="21"/>
                <w:highlight w:val="none"/>
                <w:lang w:val="en-US" w:eastAsia="zh-CN"/>
              </w:rPr>
              <w:t>1</w:t>
            </w:r>
            <w:r>
              <w:rPr>
                <w:rFonts w:hint="eastAsia" w:ascii="宋体" w:hAnsi="宋体" w:eastAsia="宋体" w:cs="宋体"/>
                <w:color w:val="auto"/>
                <w:kern w:val="0"/>
                <w:sz w:val="21"/>
                <w:szCs w:val="21"/>
                <w:highlight w:val="none"/>
                <w:lang w:val="zh-CN"/>
              </w:rPr>
              <w:t>年，时间自最终验收合格并交付使用之日起计算。中标人向采购人提供上门免费质保服务和技术支持。免费质保期内， 所有货物保修服务方式均为中标人派员到用户货物使用现场进行保修，质保期内产生的一切费用均由中标人承担（含需要返原厂修理的所有费用）。</w:t>
            </w:r>
          </w:p>
        </w:tc>
      </w:tr>
      <w:tr w14:paraId="7EE07D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63" w:type="dxa"/>
            <w:tcBorders>
              <w:tl2br w:val="nil"/>
              <w:tr2bl w:val="nil"/>
            </w:tcBorders>
            <w:vAlign w:val="center"/>
          </w:tcPr>
          <w:p w14:paraId="34C1968B">
            <w:pPr>
              <w:keepNext w:val="0"/>
              <w:keepLines w:val="0"/>
              <w:suppressLineNumbers w:val="0"/>
              <w:spacing w:before="0" w:beforeAutospacing="0" w:after="0" w:afterAutospacing="0" w:line="460" w:lineRule="atLeast"/>
              <w:ind w:left="0" w:right="0"/>
              <w:jc w:val="cente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2</w:t>
            </w:r>
          </w:p>
        </w:tc>
        <w:tc>
          <w:tcPr>
            <w:tcW w:w="1612" w:type="dxa"/>
            <w:tcBorders>
              <w:tl2br w:val="nil"/>
              <w:tr2bl w:val="nil"/>
            </w:tcBorders>
            <w:vAlign w:val="center"/>
          </w:tcPr>
          <w:p w14:paraId="36E457B0">
            <w:pPr>
              <w:keepNext w:val="0"/>
              <w:keepLines w:val="0"/>
              <w:suppressLineNumbers w:val="0"/>
              <w:spacing w:before="0" w:beforeAutospacing="0" w:after="0" w:afterAutospacing="0" w:line="460" w:lineRule="atLeast"/>
              <w:ind w:left="0" w:right="0"/>
              <w:jc w:val="cente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维修响应及故障解决时间</w:t>
            </w:r>
          </w:p>
        </w:tc>
        <w:tc>
          <w:tcPr>
            <w:tcW w:w="6419" w:type="dxa"/>
            <w:tcBorders>
              <w:tl2br w:val="nil"/>
              <w:tr2bl w:val="nil"/>
            </w:tcBorders>
            <w:vAlign w:val="center"/>
          </w:tcPr>
          <w:p w14:paraId="784DD4DC">
            <w:pPr>
              <w:keepNext w:val="0"/>
              <w:keepLines w:val="0"/>
              <w:suppressLineNumbers w:val="0"/>
              <w:spacing w:before="0" w:beforeAutospacing="0" w:after="0" w:afterAutospacing="0" w:line="240" w:lineRule="auto"/>
              <w:ind w:left="0" w:right="0"/>
              <w:jc w:val="both"/>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在质保期内，一旦发生质量问题，</w:t>
            </w:r>
            <w:r>
              <w:rPr>
                <w:rFonts w:hint="eastAsia" w:ascii="宋体" w:hAnsi="宋体" w:eastAsia="宋体" w:cs="宋体"/>
                <w:color w:val="auto"/>
                <w:kern w:val="0"/>
                <w:sz w:val="21"/>
                <w:szCs w:val="21"/>
                <w:highlight w:val="none"/>
                <w:lang w:val="zh-CN" w:eastAsia="zh-CN"/>
              </w:rPr>
              <w:t>中标</w:t>
            </w:r>
            <w:r>
              <w:rPr>
                <w:rFonts w:hint="eastAsia" w:ascii="宋体" w:hAnsi="宋体" w:eastAsia="宋体" w:cs="宋体"/>
                <w:color w:val="auto"/>
                <w:kern w:val="0"/>
                <w:sz w:val="21"/>
                <w:szCs w:val="21"/>
                <w:highlight w:val="none"/>
                <w:lang w:val="zh-CN"/>
              </w:rPr>
              <w:t>人保证在接到通知 24 小时内赶到现场进行修理或更换。</w:t>
            </w:r>
          </w:p>
        </w:tc>
      </w:tr>
      <w:tr w14:paraId="3F3D71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63" w:type="dxa"/>
            <w:vMerge w:val="restart"/>
            <w:tcBorders>
              <w:tl2br w:val="nil"/>
              <w:tr2bl w:val="nil"/>
            </w:tcBorders>
            <w:vAlign w:val="center"/>
          </w:tcPr>
          <w:p w14:paraId="428201A6">
            <w:pPr>
              <w:keepNext w:val="0"/>
              <w:keepLines w:val="0"/>
              <w:suppressLineNumbers w:val="0"/>
              <w:spacing w:before="0" w:beforeAutospacing="0" w:after="0" w:afterAutospacing="0" w:line="460" w:lineRule="atLeast"/>
              <w:ind w:left="0" w:right="0"/>
              <w:jc w:val="cente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3</w:t>
            </w:r>
          </w:p>
        </w:tc>
        <w:tc>
          <w:tcPr>
            <w:tcW w:w="1612" w:type="dxa"/>
            <w:vMerge w:val="restart"/>
            <w:tcBorders>
              <w:tl2br w:val="nil"/>
              <w:tr2bl w:val="nil"/>
            </w:tcBorders>
            <w:vAlign w:val="center"/>
          </w:tcPr>
          <w:p w14:paraId="4BCB7F1C">
            <w:pPr>
              <w:keepNext w:val="0"/>
              <w:keepLines w:val="0"/>
              <w:suppressLineNumbers w:val="0"/>
              <w:spacing w:before="0" w:beforeAutospacing="0" w:after="0" w:afterAutospacing="0" w:line="460" w:lineRule="atLeast"/>
              <w:ind w:left="0" w:right="0"/>
              <w:jc w:val="cente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售后服务要求</w:t>
            </w:r>
          </w:p>
        </w:tc>
        <w:tc>
          <w:tcPr>
            <w:tcW w:w="6419" w:type="dxa"/>
            <w:tcBorders>
              <w:tl2br w:val="nil"/>
              <w:tr2bl w:val="nil"/>
            </w:tcBorders>
            <w:vAlign w:val="top"/>
          </w:tcPr>
          <w:p w14:paraId="257DCD46">
            <w:pPr>
              <w:keepNext w:val="0"/>
              <w:keepLines w:val="0"/>
              <w:suppressLineNumbers w:val="0"/>
              <w:spacing w:before="0" w:beforeAutospacing="0" w:after="0" w:afterAutospacing="0" w:line="240" w:lineRule="auto"/>
              <w:ind w:left="0" w:right="0"/>
              <w:rPr>
                <w:rFonts w:hint="eastAsia" w:ascii="宋体" w:hAnsi="宋体" w:eastAsia="宋体" w:cs="宋体"/>
                <w:bCs/>
                <w:color w:val="auto"/>
                <w:sz w:val="21"/>
                <w:szCs w:val="21"/>
                <w:highlight w:val="none"/>
              </w:rPr>
            </w:pPr>
            <w:r>
              <w:rPr>
                <w:rFonts w:hint="eastAsia" w:ascii="宋体" w:hAnsi="宋体" w:eastAsia="宋体" w:cs="宋体"/>
                <w:color w:val="auto"/>
                <w:kern w:val="0"/>
                <w:sz w:val="21"/>
                <w:szCs w:val="21"/>
                <w:highlight w:val="none"/>
                <w:lang w:val="zh-CN"/>
              </w:rPr>
              <w:t>3.1中标人需为本项目配备足够的售后服务力量。</w:t>
            </w:r>
          </w:p>
        </w:tc>
      </w:tr>
      <w:tr w14:paraId="2E5A97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63" w:type="dxa"/>
            <w:vMerge w:val="continue"/>
            <w:tcBorders>
              <w:tl2br w:val="nil"/>
              <w:tr2bl w:val="nil"/>
            </w:tcBorders>
            <w:vAlign w:val="center"/>
          </w:tcPr>
          <w:p w14:paraId="36233DD2">
            <w:pPr>
              <w:keepNext w:val="0"/>
              <w:keepLines w:val="0"/>
              <w:suppressLineNumbers w:val="0"/>
              <w:spacing w:before="0" w:beforeAutospacing="0" w:after="0" w:afterAutospacing="0" w:line="460" w:lineRule="atLeast"/>
              <w:ind w:left="0" w:right="0"/>
              <w:jc w:val="center"/>
              <w:rPr>
                <w:rFonts w:hint="eastAsia" w:ascii="宋体" w:hAnsi="宋体" w:eastAsia="宋体" w:cs="宋体"/>
                <w:b w:val="0"/>
                <w:bCs/>
                <w:color w:val="auto"/>
                <w:sz w:val="21"/>
                <w:szCs w:val="21"/>
                <w:highlight w:val="none"/>
              </w:rPr>
            </w:pPr>
          </w:p>
        </w:tc>
        <w:tc>
          <w:tcPr>
            <w:tcW w:w="1612" w:type="dxa"/>
            <w:vMerge w:val="continue"/>
            <w:tcBorders>
              <w:tl2br w:val="nil"/>
              <w:tr2bl w:val="nil"/>
            </w:tcBorders>
            <w:vAlign w:val="center"/>
          </w:tcPr>
          <w:p w14:paraId="466BCB7F">
            <w:pPr>
              <w:keepNext w:val="0"/>
              <w:keepLines w:val="0"/>
              <w:suppressLineNumbers w:val="0"/>
              <w:spacing w:before="0" w:beforeAutospacing="0" w:after="0" w:afterAutospacing="0" w:line="460" w:lineRule="atLeast"/>
              <w:ind w:left="0" w:right="0"/>
              <w:jc w:val="center"/>
              <w:rPr>
                <w:rFonts w:hint="eastAsia" w:ascii="宋体" w:hAnsi="宋体" w:eastAsia="宋体" w:cs="宋体"/>
                <w:b w:val="0"/>
                <w:bCs/>
                <w:color w:val="auto"/>
                <w:sz w:val="21"/>
                <w:szCs w:val="21"/>
                <w:highlight w:val="none"/>
              </w:rPr>
            </w:pPr>
          </w:p>
        </w:tc>
        <w:tc>
          <w:tcPr>
            <w:tcW w:w="6419" w:type="dxa"/>
            <w:tcBorders>
              <w:tl2br w:val="nil"/>
              <w:tr2bl w:val="nil"/>
            </w:tcBorders>
            <w:vAlign w:val="top"/>
          </w:tcPr>
          <w:p w14:paraId="6D5E0DA8">
            <w:pPr>
              <w:keepNext w:val="0"/>
              <w:keepLines w:val="0"/>
              <w:suppressLineNumbers w:val="0"/>
              <w:spacing w:before="0" w:beforeAutospacing="0" w:after="0" w:afterAutospacing="0" w:line="240" w:lineRule="auto"/>
              <w:ind w:left="0" w:right="0"/>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zh-CN"/>
              </w:rPr>
              <w:t>3.2中标人售后服务响应时间：电话响应时间要求</w:t>
            </w:r>
            <w:r>
              <w:rPr>
                <w:rFonts w:hint="eastAsia" w:ascii="宋体" w:hAnsi="宋体" w:eastAsia="宋体" w:cs="宋体"/>
                <w:bCs/>
                <w:color w:val="auto"/>
                <w:sz w:val="21"/>
                <w:szCs w:val="21"/>
                <w:highlight w:val="none"/>
                <w:u w:val="single"/>
              </w:rPr>
              <w:t xml:space="preserve"> 1小时</w:t>
            </w:r>
            <w:r>
              <w:rPr>
                <w:rFonts w:hint="eastAsia" w:ascii="宋体" w:hAnsi="宋体" w:eastAsia="宋体" w:cs="宋体"/>
                <w:color w:val="auto"/>
                <w:kern w:val="0"/>
                <w:sz w:val="21"/>
                <w:szCs w:val="21"/>
                <w:highlight w:val="none"/>
                <w:lang w:val="zh-CN"/>
              </w:rPr>
              <w:t>内，到场响应时间要求</w:t>
            </w:r>
            <w:r>
              <w:rPr>
                <w:rFonts w:hint="eastAsia" w:ascii="宋体" w:hAnsi="宋体" w:eastAsia="宋体" w:cs="宋体"/>
                <w:bCs/>
                <w:color w:val="auto"/>
                <w:sz w:val="21"/>
                <w:szCs w:val="21"/>
                <w:highlight w:val="none"/>
                <w:u w:val="single"/>
              </w:rPr>
              <w:t xml:space="preserve"> 24小时</w:t>
            </w:r>
            <w:r>
              <w:rPr>
                <w:rFonts w:hint="eastAsia" w:ascii="宋体" w:hAnsi="宋体" w:eastAsia="宋体" w:cs="宋体"/>
                <w:color w:val="auto"/>
                <w:kern w:val="0"/>
                <w:sz w:val="21"/>
                <w:szCs w:val="21"/>
                <w:highlight w:val="none"/>
                <w:lang w:val="zh-CN"/>
              </w:rPr>
              <w:t>内（指从接到报障至到达故障现场的时间）。</w:t>
            </w:r>
          </w:p>
        </w:tc>
      </w:tr>
      <w:tr w14:paraId="478571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63" w:type="dxa"/>
            <w:vMerge w:val="continue"/>
            <w:tcBorders>
              <w:tl2br w:val="nil"/>
              <w:tr2bl w:val="nil"/>
            </w:tcBorders>
            <w:vAlign w:val="center"/>
          </w:tcPr>
          <w:p w14:paraId="7EF309DE">
            <w:pPr>
              <w:keepNext w:val="0"/>
              <w:keepLines w:val="0"/>
              <w:suppressLineNumbers w:val="0"/>
              <w:spacing w:before="0" w:beforeAutospacing="0" w:after="0" w:afterAutospacing="0" w:line="460" w:lineRule="atLeast"/>
              <w:ind w:left="0" w:right="0"/>
              <w:jc w:val="center"/>
              <w:rPr>
                <w:rFonts w:hint="eastAsia" w:ascii="宋体" w:hAnsi="宋体" w:eastAsia="宋体" w:cs="宋体"/>
                <w:b w:val="0"/>
                <w:bCs/>
                <w:color w:val="auto"/>
                <w:sz w:val="21"/>
                <w:szCs w:val="21"/>
                <w:highlight w:val="none"/>
              </w:rPr>
            </w:pPr>
          </w:p>
        </w:tc>
        <w:tc>
          <w:tcPr>
            <w:tcW w:w="1612" w:type="dxa"/>
            <w:vMerge w:val="continue"/>
            <w:tcBorders>
              <w:tl2br w:val="nil"/>
              <w:tr2bl w:val="nil"/>
            </w:tcBorders>
            <w:vAlign w:val="center"/>
          </w:tcPr>
          <w:p w14:paraId="66EB898C">
            <w:pPr>
              <w:keepNext w:val="0"/>
              <w:keepLines w:val="0"/>
              <w:suppressLineNumbers w:val="0"/>
              <w:spacing w:before="0" w:beforeAutospacing="0" w:after="0" w:afterAutospacing="0" w:line="460" w:lineRule="atLeast"/>
              <w:ind w:left="0" w:right="0"/>
              <w:jc w:val="center"/>
              <w:rPr>
                <w:rFonts w:hint="eastAsia" w:ascii="宋体" w:hAnsi="宋体" w:eastAsia="宋体" w:cs="宋体"/>
                <w:b w:val="0"/>
                <w:bCs/>
                <w:color w:val="auto"/>
                <w:sz w:val="21"/>
                <w:szCs w:val="21"/>
                <w:highlight w:val="none"/>
              </w:rPr>
            </w:pPr>
          </w:p>
        </w:tc>
        <w:tc>
          <w:tcPr>
            <w:tcW w:w="6419" w:type="dxa"/>
            <w:tcBorders>
              <w:tl2br w:val="nil"/>
              <w:tr2bl w:val="nil"/>
            </w:tcBorders>
            <w:vAlign w:val="top"/>
          </w:tcPr>
          <w:p w14:paraId="4A2DB39B">
            <w:pPr>
              <w:keepNext w:val="0"/>
              <w:keepLines w:val="0"/>
              <w:suppressLineNumbers w:val="0"/>
              <w:spacing w:before="0" w:beforeAutospacing="0" w:after="0" w:afterAutospacing="0" w:line="240" w:lineRule="auto"/>
              <w:ind w:left="0" w:right="0"/>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zh-CN"/>
              </w:rPr>
              <w:t>3.3中标人必须提供承诺，保证常备1%的全新备品，一旦货物出现问题全新备品能在</w:t>
            </w:r>
            <w:r>
              <w:rPr>
                <w:rFonts w:hint="eastAsia" w:ascii="宋体" w:hAnsi="宋体" w:eastAsia="宋体" w:cs="宋体"/>
                <w:bCs/>
                <w:color w:val="auto"/>
                <w:sz w:val="21"/>
                <w:szCs w:val="21"/>
                <w:highlight w:val="none"/>
                <w:u w:val="single"/>
              </w:rPr>
              <w:t>12小时</w:t>
            </w:r>
            <w:r>
              <w:rPr>
                <w:rFonts w:hint="eastAsia" w:ascii="宋体" w:hAnsi="宋体" w:eastAsia="宋体" w:cs="宋体"/>
                <w:color w:val="auto"/>
                <w:kern w:val="0"/>
                <w:sz w:val="21"/>
                <w:szCs w:val="21"/>
                <w:highlight w:val="none"/>
                <w:lang w:val="zh-CN"/>
              </w:rPr>
              <w:t>内到现场，</w:t>
            </w:r>
            <w:r>
              <w:rPr>
                <w:rFonts w:hint="eastAsia" w:ascii="宋体" w:hAnsi="宋体" w:eastAsia="宋体" w:cs="宋体"/>
                <w:bCs/>
                <w:color w:val="auto"/>
                <w:sz w:val="21"/>
                <w:szCs w:val="21"/>
                <w:highlight w:val="none"/>
                <w:u w:val="single"/>
              </w:rPr>
              <w:t xml:space="preserve"> 1 小时</w:t>
            </w:r>
            <w:r>
              <w:rPr>
                <w:rFonts w:hint="eastAsia" w:ascii="宋体" w:hAnsi="宋体" w:eastAsia="宋体" w:cs="宋体"/>
                <w:color w:val="auto"/>
                <w:kern w:val="0"/>
                <w:sz w:val="21"/>
                <w:szCs w:val="21"/>
                <w:highlight w:val="none"/>
                <w:lang w:val="zh-CN"/>
              </w:rPr>
              <w:t>内解决相关问题。</w:t>
            </w:r>
          </w:p>
        </w:tc>
      </w:tr>
      <w:tr w14:paraId="48D633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63" w:type="dxa"/>
            <w:vMerge w:val="continue"/>
            <w:tcBorders>
              <w:tl2br w:val="nil"/>
              <w:tr2bl w:val="nil"/>
            </w:tcBorders>
            <w:vAlign w:val="center"/>
          </w:tcPr>
          <w:p w14:paraId="56A082E5">
            <w:pPr>
              <w:keepNext w:val="0"/>
              <w:keepLines w:val="0"/>
              <w:suppressLineNumbers w:val="0"/>
              <w:spacing w:before="0" w:beforeAutospacing="0" w:after="0" w:afterAutospacing="0" w:line="460" w:lineRule="atLeast"/>
              <w:ind w:left="0" w:right="0"/>
              <w:jc w:val="center"/>
              <w:rPr>
                <w:rFonts w:hint="eastAsia" w:ascii="宋体" w:hAnsi="宋体" w:eastAsia="宋体" w:cs="宋体"/>
                <w:b w:val="0"/>
                <w:bCs/>
                <w:color w:val="auto"/>
                <w:sz w:val="21"/>
                <w:szCs w:val="21"/>
                <w:highlight w:val="none"/>
              </w:rPr>
            </w:pPr>
          </w:p>
        </w:tc>
        <w:tc>
          <w:tcPr>
            <w:tcW w:w="1612" w:type="dxa"/>
            <w:vMerge w:val="continue"/>
            <w:tcBorders>
              <w:tl2br w:val="nil"/>
              <w:tr2bl w:val="nil"/>
            </w:tcBorders>
            <w:vAlign w:val="center"/>
          </w:tcPr>
          <w:p w14:paraId="2228B919">
            <w:pPr>
              <w:keepNext w:val="0"/>
              <w:keepLines w:val="0"/>
              <w:suppressLineNumbers w:val="0"/>
              <w:spacing w:before="0" w:beforeAutospacing="0" w:after="0" w:afterAutospacing="0" w:line="460" w:lineRule="atLeast"/>
              <w:ind w:left="0" w:right="0"/>
              <w:jc w:val="center"/>
              <w:rPr>
                <w:rFonts w:hint="eastAsia" w:ascii="宋体" w:hAnsi="宋体" w:eastAsia="宋体" w:cs="宋体"/>
                <w:b w:val="0"/>
                <w:bCs/>
                <w:color w:val="auto"/>
                <w:sz w:val="21"/>
                <w:szCs w:val="21"/>
                <w:highlight w:val="none"/>
              </w:rPr>
            </w:pPr>
          </w:p>
        </w:tc>
        <w:tc>
          <w:tcPr>
            <w:tcW w:w="6419" w:type="dxa"/>
            <w:tcBorders>
              <w:tl2br w:val="nil"/>
              <w:tr2bl w:val="nil"/>
            </w:tcBorders>
            <w:vAlign w:val="top"/>
          </w:tcPr>
          <w:p w14:paraId="0ADF5276">
            <w:pPr>
              <w:keepNext w:val="0"/>
              <w:keepLines w:val="0"/>
              <w:suppressLineNumbers w:val="0"/>
              <w:spacing w:before="0" w:beforeAutospacing="0" w:after="0" w:afterAutospacing="0" w:line="240" w:lineRule="auto"/>
              <w:ind w:left="0" w:right="0"/>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zh-CN"/>
              </w:rPr>
              <w:t>3.4中标人免费提供技术支持热线电话。</w:t>
            </w:r>
          </w:p>
        </w:tc>
      </w:tr>
      <w:tr w14:paraId="2EDBEA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63" w:type="dxa"/>
            <w:vMerge w:val="continue"/>
            <w:tcBorders>
              <w:tl2br w:val="nil"/>
              <w:tr2bl w:val="nil"/>
            </w:tcBorders>
            <w:vAlign w:val="center"/>
          </w:tcPr>
          <w:p w14:paraId="5A6D731A">
            <w:pPr>
              <w:keepNext w:val="0"/>
              <w:keepLines w:val="0"/>
              <w:suppressLineNumbers w:val="0"/>
              <w:spacing w:before="0" w:beforeAutospacing="0" w:after="0" w:afterAutospacing="0" w:line="460" w:lineRule="atLeast"/>
              <w:ind w:left="0" w:right="0"/>
              <w:jc w:val="center"/>
              <w:rPr>
                <w:rFonts w:hint="eastAsia" w:ascii="宋体" w:hAnsi="宋体" w:eastAsia="宋体" w:cs="宋体"/>
                <w:b w:val="0"/>
                <w:bCs/>
                <w:color w:val="auto"/>
                <w:sz w:val="21"/>
                <w:szCs w:val="21"/>
                <w:highlight w:val="none"/>
              </w:rPr>
            </w:pPr>
          </w:p>
        </w:tc>
        <w:tc>
          <w:tcPr>
            <w:tcW w:w="1612" w:type="dxa"/>
            <w:vMerge w:val="continue"/>
            <w:tcBorders>
              <w:tl2br w:val="nil"/>
              <w:tr2bl w:val="nil"/>
            </w:tcBorders>
            <w:vAlign w:val="center"/>
          </w:tcPr>
          <w:p w14:paraId="1302285A">
            <w:pPr>
              <w:keepNext w:val="0"/>
              <w:keepLines w:val="0"/>
              <w:suppressLineNumbers w:val="0"/>
              <w:spacing w:before="0" w:beforeAutospacing="0" w:after="0" w:afterAutospacing="0" w:line="460" w:lineRule="atLeast"/>
              <w:ind w:left="0" w:right="0"/>
              <w:jc w:val="center"/>
              <w:rPr>
                <w:rFonts w:hint="eastAsia" w:ascii="宋体" w:hAnsi="宋体" w:eastAsia="宋体" w:cs="宋体"/>
                <w:b w:val="0"/>
                <w:bCs/>
                <w:color w:val="auto"/>
                <w:sz w:val="21"/>
                <w:szCs w:val="21"/>
                <w:highlight w:val="none"/>
              </w:rPr>
            </w:pPr>
          </w:p>
        </w:tc>
        <w:tc>
          <w:tcPr>
            <w:tcW w:w="6419" w:type="dxa"/>
            <w:tcBorders>
              <w:tl2br w:val="nil"/>
              <w:tr2bl w:val="nil"/>
            </w:tcBorders>
            <w:vAlign w:val="top"/>
          </w:tcPr>
          <w:p w14:paraId="74E49508">
            <w:pPr>
              <w:keepNext w:val="0"/>
              <w:keepLines w:val="0"/>
              <w:suppressLineNumbers w:val="0"/>
              <w:spacing w:before="0" w:beforeAutospacing="0" w:after="0" w:afterAutospacing="0" w:line="240" w:lineRule="auto"/>
              <w:ind w:left="0" w:right="0"/>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zh-CN"/>
              </w:rPr>
              <w:t>3.</w:t>
            </w:r>
            <w:r>
              <w:rPr>
                <w:rFonts w:hint="eastAsia" w:ascii="宋体" w:hAnsi="宋体" w:eastAsia="宋体" w:cs="宋体"/>
                <w:color w:val="auto"/>
                <w:kern w:val="0"/>
                <w:sz w:val="21"/>
                <w:szCs w:val="21"/>
                <w:highlight w:val="none"/>
              </w:rPr>
              <w:t>5</w:t>
            </w:r>
            <w:r>
              <w:rPr>
                <w:rFonts w:hint="eastAsia" w:ascii="宋体" w:hAnsi="宋体" w:eastAsia="宋体" w:cs="宋体"/>
                <w:color w:val="auto"/>
                <w:kern w:val="0"/>
                <w:sz w:val="21"/>
                <w:szCs w:val="21"/>
                <w:highlight w:val="none"/>
                <w:lang w:val="zh-CN"/>
              </w:rPr>
              <w:t>中标人提供该货物的技术使用说明书，并指导在使用时的操作注意事项等。</w:t>
            </w:r>
          </w:p>
        </w:tc>
      </w:tr>
      <w:tr w14:paraId="3D4C9F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63" w:type="dxa"/>
            <w:vMerge w:val="restart"/>
            <w:tcBorders>
              <w:tl2br w:val="nil"/>
              <w:tr2bl w:val="nil"/>
            </w:tcBorders>
            <w:vAlign w:val="center"/>
          </w:tcPr>
          <w:p w14:paraId="4AC6D661">
            <w:pPr>
              <w:keepNext w:val="0"/>
              <w:keepLines w:val="0"/>
              <w:suppressLineNumbers w:val="0"/>
              <w:spacing w:before="0" w:beforeAutospacing="0" w:after="0" w:afterAutospacing="0" w:line="460" w:lineRule="atLeast"/>
              <w:ind w:left="0" w:right="0"/>
              <w:jc w:val="cente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4</w:t>
            </w:r>
          </w:p>
        </w:tc>
        <w:tc>
          <w:tcPr>
            <w:tcW w:w="1612" w:type="dxa"/>
            <w:vMerge w:val="restart"/>
            <w:tcBorders>
              <w:tl2br w:val="nil"/>
              <w:tr2bl w:val="nil"/>
            </w:tcBorders>
            <w:vAlign w:val="center"/>
          </w:tcPr>
          <w:p w14:paraId="732B3F12">
            <w:pPr>
              <w:keepNext w:val="0"/>
              <w:keepLines w:val="0"/>
              <w:suppressLineNumbers w:val="0"/>
              <w:spacing w:before="0" w:beforeAutospacing="0" w:after="0" w:afterAutospacing="0" w:line="460" w:lineRule="atLeast"/>
              <w:ind w:left="0" w:right="0"/>
              <w:jc w:val="cente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其他</w:t>
            </w:r>
          </w:p>
        </w:tc>
        <w:tc>
          <w:tcPr>
            <w:tcW w:w="6419" w:type="dxa"/>
            <w:tcBorders>
              <w:tl2br w:val="nil"/>
              <w:tr2bl w:val="nil"/>
            </w:tcBorders>
            <w:vAlign w:val="center"/>
          </w:tcPr>
          <w:p w14:paraId="6D6519F3">
            <w:pPr>
              <w:keepNext w:val="0"/>
              <w:keepLines w:val="0"/>
              <w:suppressLineNumbers w:val="0"/>
              <w:spacing w:before="0" w:beforeAutospacing="0" w:after="0" w:afterAutospacing="0" w:line="240" w:lineRule="auto"/>
              <w:ind w:left="0" w:right="0"/>
              <w:jc w:val="both"/>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4.1免费质保期内，产品因质量问题而引起的损坏，中标人应对产品予以维修或更换，全部服务费和更换产品或配件的费用均由中标人承担。免费质保期内维修或更换产品数量达产品总量的5%时，免费保修期延长1年。</w:t>
            </w:r>
          </w:p>
        </w:tc>
      </w:tr>
      <w:tr w14:paraId="674594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63" w:type="dxa"/>
            <w:vMerge w:val="continue"/>
            <w:tcBorders>
              <w:tl2br w:val="nil"/>
              <w:tr2bl w:val="nil"/>
            </w:tcBorders>
            <w:vAlign w:val="center"/>
          </w:tcPr>
          <w:p w14:paraId="4124CFAE">
            <w:pPr>
              <w:keepNext w:val="0"/>
              <w:keepLines w:val="0"/>
              <w:suppressLineNumbers w:val="0"/>
              <w:spacing w:before="0" w:beforeAutospacing="0" w:after="0" w:afterAutospacing="0" w:line="460" w:lineRule="atLeast"/>
              <w:ind w:left="0" w:right="0"/>
              <w:jc w:val="center"/>
              <w:rPr>
                <w:rFonts w:hint="eastAsia" w:ascii="宋体" w:hAnsi="宋体" w:eastAsia="宋体" w:cs="宋体"/>
                <w:b/>
                <w:color w:val="auto"/>
                <w:sz w:val="21"/>
                <w:szCs w:val="21"/>
                <w:highlight w:val="none"/>
              </w:rPr>
            </w:pPr>
          </w:p>
        </w:tc>
        <w:tc>
          <w:tcPr>
            <w:tcW w:w="1612" w:type="dxa"/>
            <w:vMerge w:val="continue"/>
            <w:tcBorders>
              <w:tl2br w:val="nil"/>
              <w:tr2bl w:val="nil"/>
            </w:tcBorders>
            <w:vAlign w:val="center"/>
          </w:tcPr>
          <w:p w14:paraId="7554375E">
            <w:pPr>
              <w:keepNext w:val="0"/>
              <w:keepLines w:val="0"/>
              <w:suppressLineNumbers w:val="0"/>
              <w:spacing w:before="0" w:beforeAutospacing="0" w:after="0" w:afterAutospacing="0" w:line="460" w:lineRule="atLeast"/>
              <w:ind w:left="0" w:right="0"/>
              <w:jc w:val="center"/>
              <w:rPr>
                <w:rFonts w:hint="eastAsia" w:ascii="宋体" w:hAnsi="宋体" w:eastAsia="宋体" w:cs="宋体"/>
                <w:color w:val="auto"/>
                <w:sz w:val="21"/>
                <w:szCs w:val="21"/>
                <w:highlight w:val="none"/>
              </w:rPr>
            </w:pPr>
          </w:p>
        </w:tc>
        <w:tc>
          <w:tcPr>
            <w:tcW w:w="6419" w:type="dxa"/>
            <w:tcBorders>
              <w:tl2br w:val="nil"/>
              <w:tr2bl w:val="nil"/>
            </w:tcBorders>
            <w:vAlign w:val="center"/>
          </w:tcPr>
          <w:p w14:paraId="114F3042">
            <w:pPr>
              <w:keepNext w:val="0"/>
              <w:keepLines w:val="0"/>
              <w:suppressLineNumbers w:val="0"/>
              <w:spacing w:before="0" w:beforeAutospacing="0" w:after="0" w:afterAutospacing="0" w:line="240" w:lineRule="auto"/>
              <w:ind w:left="0" w:right="0"/>
              <w:jc w:val="both"/>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4.</w:t>
            </w:r>
            <w:r>
              <w:rPr>
                <w:rFonts w:hint="eastAsia" w:ascii="宋体" w:hAnsi="宋体" w:eastAsia="宋体" w:cs="宋体"/>
                <w:color w:val="auto"/>
                <w:kern w:val="0"/>
                <w:sz w:val="21"/>
                <w:szCs w:val="21"/>
                <w:highlight w:val="none"/>
                <w:lang w:val="en-US" w:eastAsia="zh-CN"/>
              </w:rPr>
              <w:t>2</w:t>
            </w:r>
            <w:r>
              <w:rPr>
                <w:rFonts w:hint="eastAsia" w:ascii="宋体" w:hAnsi="宋体" w:eastAsia="宋体" w:cs="宋体"/>
                <w:color w:val="auto"/>
                <w:kern w:val="0"/>
                <w:sz w:val="21"/>
                <w:szCs w:val="21"/>
                <w:highlight w:val="none"/>
                <w:lang w:val="zh-CN"/>
              </w:rPr>
              <w:t>免费保修期后中标人继续支持维修，并按成本价标准收取服务、维修、产品及零件等费用。</w:t>
            </w:r>
          </w:p>
        </w:tc>
      </w:tr>
      <w:tr w14:paraId="0D496E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94" w:type="dxa"/>
            <w:gridSpan w:val="3"/>
            <w:tcBorders>
              <w:tl2br w:val="nil"/>
              <w:tr2bl w:val="nil"/>
            </w:tcBorders>
            <w:vAlign w:val="top"/>
          </w:tcPr>
          <w:p w14:paraId="47CA3124">
            <w:pPr>
              <w:keepNext w:val="0"/>
              <w:keepLines w:val="0"/>
              <w:suppressLineNumbers w:val="0"/>
              <w:spacing w:before="0" w:beforeAutospacing="0" w:after="0" w:afterAutospacing="0" w:line="240" w:lineRule="auto"/>
              <w:ind w:left="0" w:right="0"/>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（二）免费保修期外售后服务要求</w:t>
            </w:r>
          </w:p>
        </w:tc>
      </w:tr>
      <w:tr w14:paraId="53DEB6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63" w:type="dxa"/>
            <w:tcBorders>
              <w:tl2br w:val="nil"/>
              <w:tr2bl w:val="nil"/>
            </w:tcBorders>
            <w:vAlign w:val="center"/>
          </w:tcPr>
          <w:p w14:paraId="6BB84A2F">
            <w:pPr>
              <w:keepNext w:val="0"/>
              <w:keepLines w:val="0"/>
              <w:suppressLineNumbers w:val="0"/>
              <w:spacing w:before="0" w:beforeAutospacing="0" w:after="0" w:afterAutospacing="0" w:line="460" w:lineRule="atLeast"/>
              <w:ind w:left="0" w:right="0"/>
              <w:jc w:val="center"/>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1</w:t>
            </w:r>
          </w:p>
        </w:tc>
        <w:tc>
          <w:tcPr>
            <w:tcW w:w="1612" w:type="dxa"/>
            <w:tcBorders>
              <w:tl2br w:val="nil"/>
              <w:tr2bl w:val="nil"/>
            </w:tcBorders>
            <w:vAlign w:val="center"/>
          </w:tcPr>
          <w:p w14:paraId="275F742A">
            <w:pPr>
              <w:keepNext w:val="0"/>
              <w:keepLines w:val="0"/>
              <w:suppressLineNumbers w:val="0"/>
              <w:spacing w:before="0" w:beforeAutospacing="0" w:after="0" w:afterAutospacing="0" w:line="460" w:lineRule="atLeast"/>
              <w:ind w:left="0" w:right="0"/>
              <w:jc w:val="center"/>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免费保修期外售后服务</w:t>
            </w:r>
          </w:p>
        </w:tc>
        <w:tc>
          <w:tcPr>
            <w:tcW w:w="6419" w:type="dxa"/>
            <w:tcBorders>
              <w:tl2br w:val="nil"/>
              <w:tr2bl w:val="nil"/>
            </w:tcBorders>
            <w:vAlign w:val="center"/>
          </w:tcPr>
          <w:p w14:paraId="64EA9692">
            <w:pPr>
              <w:keepNext w:val="0"/>
              <w:keepLines w:val="0"/>
              <w:suppressLineNumbers w:val="0"/>
              <w:spacing w:before="0" w:beforeAutospacing="0" w:after="0" w:afterAutospacing="0" w:line="240" w:lineRule="auto"/>
              <w:ind w:left="0" w:right="0"/>
              <w:jc w:val="both"/>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超过质保期的维修服务中标方应提供只收取维修材料费用的维修服务。</w:t>
            </w:r>
          </w:p>
        </w:tc>
      </w:tr>
      <w:tr w14:paraId="087020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63" w:type="dxa"/>
            <w:tcBorders>
              <w:tl2br w:val="nil"/>
              <w:tr2bl w:val="nil"/>
            </w:tcBorders>
            <w:vAlign w:val="center"/>
          </w:tcPr>
          <w:p w14:paraId="0DEC4CC5">
            <w:pPr>
              <w:keepNext w:val="0"/>
              <w:keepLines w:val="0"/>
              <w:suppressLineNumbers w:val="0"/>
              <w:spacing w:before="0" w:beforeAutospacing="0" w:after="0" w:afterAutospacing="0" w:line="460" w:lineRule="atLeast"/>
              <w:ind w:left="0" w:right="0"/>
              <w:jc w:val="center"/>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2</w:t>
            </w:r>
          </w:p>
        </w:tc>
        <w:tc>
          <w:tcPr>
            <w:tcW w:w="1612" w:type="dxa"/>
            <w:tcBorders>
              <w:tl2br w:val="nil"/>
              <w:tr2bl w:val="nil"/>
            </w:tcBorders>
            <w:vAlign w:val="center"/>
          </w:tcPr>
          <w:p w14:paraId="52B2EC10">
            <w:pPr>
              <w:keepNext w:val="0"/>
              <w:keepLines w:val="0"/>
              <w:suppressLineNumbers w:val="0"/>
              <w:spacing w:before="0" w:beforeAutospacing="0" w:after="0" w:afterAutospacing="0" w:line="460" w:lineRule="atLeast"/>
              <w:ind w:left="0" w:right="0"/>
              <w:jc w:val="center"/>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热线服务</w:t>
            </w:r>
          </w:p>
        </w:tc>
        <w:tc>
          <w:tcPr>
            <w:tcW w:w="6419" w:type="dxa"/>
            <w:tcBorders>
              <w:tl2br w:val="nil"/>
              <w:tr2bl w:val="nil"/>
            </w:tcBorders>
            <w:vAlign w:val="center"/>
          </w:tcPr>
          <w:p w14:paraId="5DD32FFF">
            <w:pPr>
              <w:keepNext w:val="0"/>
              <w:keepLines w:val="0"/>
              <w:suppressLineNumbers w:val="0"/>
              <w:spacing w:before="0" w:beforeAutospacing="0" w:after="0" w:afterAutospacing="0" w:line="240" w:lineRule="auto"/>
              <w:ind w:left="0" w:right="0"/>
              <w:jc w:val="both"/>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卖方免费提供技术支持热线电话并且免费提供email技术支持，并且在</w:t>
            </w:r>
            <w:r>
              <w:rPr>
                <w:rFonts w:hint="eastAsia" w:ascii="宋体" w:hAnsi="宋体" w:eastAsia="宋体" w:cs="宋体"/>
                <w:bCs/>
                <w:color w:val="auto"/>
                <w:sz w:val="21"/>
                <w:szCs w:val="21"/>
                <w:highlight w:val="none"/>
                <w:u w:val="single"/>
              </w:rPr>
              <w:t xml:space="preserve"> 12 小时</w:t>
            </w:r>
            <w:r>
              <w:rPr>
                <w:rFonts w:hint="eastAsia" w:ascii="宋体" w:hAnsi="宋体" w:eastAsia="宋体" w:cs="宋体"/>
                <w:color w:val="auto"/>
                <w:kern w:val="0"/>
                <w:sz w:val="21"/>
                <w:szCs w:val="21"/>
                <w:highlight w:val="none"/>
                <w:lang w:val="zh-CN"/>
              </w:rPr>
              <w:t>内回复。</w:t>
            </w:r>
          </w:p>
        </w:tc>
      </w:tr>
      <w:tr w14:paraId="6CC054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63" w:type="dxa"/>
            <w:tcBorders>
              <w:tl2br w:val="nil"/>
              <w:tr2bl w:val="nil"/>
            </w:tcBorders>
            <w:vAlign w:val="center"/>
          </w:tcPr>
          <w:p w14:paraId="3084F9A7">
            <w:pPr>
              <w:keepNext w:val="0"/>
              <w:keepLines w:val="0"/>
              <w:suppressLineNumbers w:val="0"/>
              <w:spacing w:before="0" w:beforeAutospacing="0" w:after="0" w:afterAutospacing="0" w:line="460" w:lineRule="atLeast"/>
              <w:ind w:left="0" w:right="0"/>
              <w:jc w:val="center"/>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3</w:t>
            </w:r>
          </w:p>
        </w:tc>
        <w:tc>
          <w:tcPr>
            <w:tcW w:w="1612" w:type="dxa"/>
            <w:tcBorders>
              <w:tl2br w:val="nil"/>
              <w:tr2bl w:val="nil"/>
            </w:tcBorders>
            <w:vAlign w:val="center"/>
          </w:tcPr>
          <w:p w14:paraId="0CDC11B4">
            <w:pPr>
              <w:keepNext w:val="0"/>
              <w:keepLines w:val="0"/>
              <w:suppressLineNumbers w:val="0"/>
              <w:spacing w:before="0" w:beforeAutospacing="0" w:after="0" w:afterAutospacing="0" w:line="460" w:lineRule="atLeast"/>
              <w:ind w:left="0" w:right="0"/>
              <w:jc w:val="center"/>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备品备件</w:t>
            </w:r>
          </w:p>
        </w:tc>
        <w:tc>
          <w:tcPr>
            <w:tcW w:w="6419" w:type="dxa"/>
            <w:tcBorders>
              <w:tl2br w:val="nil"/>
              <w:tr2bl w:val="nil"/>
            </w:tcBorders>
            <w:vAlign w:val="center"/>
          </w:tcPr>
          <w:p w14:paraId="3EF5AD64">
            <w:pPr>
              <w:keepNext w:val="0"/>
              <w:keepLines w:val="0"/>
              <w:suppressLineNumbers w:val="0"/>
              <w:spacing w:before="0" w:beforeAutospacing="0" w:after="0" w:afterAutospacing="0" w:line="240" w:lineRule="auto"/>
              <w:ind w:left="0" w:right="0"/>
              <w:jc w:val="both"/>
              <w:rPr>
                <w:rFonts w:hint="eastAsia" w:ascii="宋体" w:hAnsi="宋体" w:eastAsia="宋体" w:cs="宋体"/>
                <w:color w:val="auto"/>
                <w:kern w:val="0"/>
                <w:sz w:val="21"/>
                <w:szCs w:val="21"/>
                <w:highlight w:val="none"/>
                <w:lang w:val="zh-CN"/>
              </w:rPr>
            </w:pPr>
            <w:r>
              <w:rPr>
                <w:rFonts w:hint="eastAsia" w:ascii="宋体" w:hAnsi="宋体" w:cs="宋体"/>
                <w:color w:val="auto"/>
                <w:kern w:val="0"/>
                <w:sz w:val="21"/>
                <w:szCs w:val="21"/>
                <w:highlight w:val="none"/>
                <w:lang w:val="en-US" w:eastAsia="zh-CN"/>
              </w:rPr>
              <w:t>设备</w:t>
            </w:r>
            <w:bookmarkStart w:id="0" w:name="_GoBack"/>
            <w:bookmarkEnd w:id="0"/>
            <w:r>
              <w:rPr>
                <w:rFonts w:hint="eastAsia" w:ascii="宋体" w:hAnsi="宋体" w:eastAsia="宋体" w:cs="宋体"/>
                <w:color w:val="auto"/>
                <w:kern w:val="0"/>
                <w:sz w:val="21"/>
                <w:szCs w:val="21"/>
                <w:highlight w:val="none"/>
                <w:lang w:val="zh-CN"/>
              </w:rPr>
              <w:t>零配件成本优惠价格保障长期、有效的供应。</w:t>
            </w:r>
          </w:p>
        </w:tc>
      </w:tr>
      <w:tr w14:paraId="792E5A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94" w:type="dxa"/>
            <w:gridSpan w:val="3"/>
            <w:tcBorders>
              <w:tl2br w:val="nil"/>
              <w:tr2bl w:val="nil"/>
            </w:tcBorders>
            <w:vAlign w:val="top"/>
          </w:tcPr>
          <w:p w14:paraId="3302C8DD">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kern w:val="0"/>
                <w:sz w:val="21"/>
                <w:szCs w:val="21"/>
                <w:highlight w:val="none"/>
                <w:lang w:val="zh-CN"/>
              </w:rPr>
            </w:pPr>
            <w:r>
              <w:rPr>
                <w:rFonts w:hint="eastAsia" w:ascii="宋体" w:hAnsi="宋体" w:eastAsia="宋体" w:cs="宋体"/>
                <w:b/>
                <w:color w:val="auto"/>
                <w:sz w:val="21"/>
                <w:szCs w:val="21"/>
                <w:highlight w:val="none"/>
              </w:rPr>
              <w:t>（三）其他商务要求</w:t>
            </w:r>
          </w:p>
        </w:tc>
      </w:tr>
      <w:tr w14:paraId="726B25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63" w:type="dxa"/>
            <w:vMerge w:val="restart"/>
            <w:tcBorders>
              <w:tl2br w:val="nil"/>
              <w:tr2bl w:val="nil"/>
            </w:tcBorders>
            <w:vAlign w:val="center"/>
          </w:tcPr>
          <w:p w14:paraId="41E69EA9">
            <w:pPr>
              <w:keepNext w:val="0"/>
              <w:keepLines w:val="0"/>
              <w:suppressLineNumbers w:val="0"/>
              <w:spacing w:before="0" w:beforeAutospacing="0" w:after="0" w:afterAutospacing="0" w:line="460" w:lineRule="atLeast"/>
              <w:ind w:left="0" w:right="0"/>
              <w:jc w:val="center"/>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1</w:t>
            </w:r>
          </w:p>
        </w:tc>
        <w:tc>
          <w:tcPr>
            <w:tcW w:w="1612" w:type="dxa"/>
            <w:vMerge w:val="restart"/>
            <w:tcBorders>
              <w:tl2br w:val="nil"/>
              <w:tr2bl w:val="nil"/>
            </w:tcBorders>
            <w:vAlign w:val="center"/>
          </w:tcPr>
          <w:p w14:paraId="0AD4562B">
            <w:pPr>
              <w:keepNext w:val="0"/>
              <w:keepLines w:val="0"/>
              <w:suppressLineNumbers w:val="0"/>
              <w:spacing w:before="0" w:beforeAutospacing="0" w:after="0" w:afterAutospacing="0" w:line="460" w:lineRule="atLeast"/>
              <w:ind w:left="0" w:right="0"/>
              <w:jc w:val="center"/>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关于交货</w:t>
            </w:r>
          </w:p>
        </w:tc>
        <w:tc>
          <w:tcPr>
            <w:tcW w:w="6419" w:type="dxa"/>
            <w:tcBorders>
              <w:tl2br w:val="nil"/>
              <w:tr2bl w:val="nil"/>
            </w:tcBorders>
            <w:vAlign w:val="top"/>
          </w:tcPr>
          <w:p w14:paraId="5E5CE11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val="zh-CN"/>
              </w:rPr>
              <w:t>1.1交货期：合同签订后</w:t>
            </w:r>
            <w:r>
              <w:rPr>
                <w:rFonts w:hint="eastAsia" w:ascii="宋体" w:hAnsi="宋体" w:eastAsia="宋体" w:cs="宋体"/>
                <w:color w:val="auto"/>
                <w:kern w:val="0"/>
                <w:sz w:val="21"/>
                <w:szCs w:val="21"/>
                <w:highlight w:val="none"/>
                <w:lang w:val="en-US" w:eastAsia="zh-CN"/>
              </w:rPr>
              <w:t>接采购人下生产单通知后</w:t>
            </w:r>
            <w:r>
              <w:rPr>
                <w:rFonts w:hint="eastAsia" w:ascii="宋体" w:hAnsi="宋体" w:eastAsia="宋体" w:cs="宋体"/>
                <w:color w:val="auto"/>
                <w:kern w:val="0"/>
                <w:sz w:val="21"/>
                <w:szCs w:val="21"/>
                <w:highlight w:val="none"/>
                <w:u w:val="single"/>
                <w:lang w:val="zh-CN"/>
              </w:rPr>
              <w:t xml:space="preserve"> </w:t>
            </w:r>
            <w:r>
              <w:rPr>
                <w:rFonts w:hint="eastAsia" w:ascii="宋体" w:hAnsi="宋体" w:eastAsia="宋体" w:cs="宋体"/>
                <w:color w:val="auto"/>
                <w:kern w:val="0"/>
                <w:sz w:val="21"/>
                <w:szCs w:val="21"/>
                <w:highlight w:val="none"/>
                <w:u w:val="single"/>
                <w:lang w:val="en-US" w:eastAsia="zh-CN"/>
              </w:rPr>
              <w:t>25</w:t>
            </w:r>
            <w:r>
              <w:rPr>
                <w:rFonts w:hint="eastAsia" w:ascii="宋体" w:hAnsi="宋体" w:eastAsia="宋体" w:cs="宋体"/>
                <w:color w:val="auto"/>
                <w:kern w:val="0"/>
                <w:sz w:val="21"/>
                <w:szCs w:val="21"/>
                <w:highlight w:val="none"/>
                <w:u w:val="single"/>
                <w:lang w:val="zh-CN"/>
              </w:rPr>
              <w:t xml:space="preserve"> </w:t>
            </w:r>
            <w:r>
              <w:rPr>
                <w:rFonts w:hint="eastAsia" w:ascii="宋体" w:hAnsi="宋体" w:eastAsia="宋体" w:cs="宋体"/>
                <w:color w:val="auto"/>
                <w:kern w:val="0"/>
                <w:sz w:val="21"/>
                <w:szCs w:val="21"/>
                <w:highlight w:val="none"/>
                <w:lang w:val="zh-CN"/>
              </w:rPr>
              <w:t>日内（自然日）交付并通过采购人验收。交货地点：中国医学科学院肿瘤医院深圳医院。</w:t>
            </w:r>
          </w:p>
        </w:tc>
      </w:tr>
      <w:tr w14:paraId="7B13A4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63" w:type="dxa"/>
            <w:vMerge w:val="continue"/>
            <w:tcBorders>
              <w:tl2br w:val="nil"/>
              <w:tr2bl w:val="nil"/>
            </w:tcBorders>
            <w:vAlign w:val="center"/>
          </w:tcPr>
          <w:p w14:paraId="0EEB20E8">
            <w:pPr>
              <w:keepNext w:val="0"/>
              <w:keepLines w:val="0"/>
              <w:suppressLineNumbers w:val="0"/>
              <w:spacing w:before="0" w:beforeAutospacing="0" w:after="0" w:afterAutospacing="0" w:line="460" w:lineRule="atLeast"/>
              <w:ind w:left="0" w:right="0"/>
              <w:jc w:val="center"/>
              <w:rPr>
                <w:rFonts w:hint="eastAsia" w:ascii="宋体" w:hAnsi="宋体" w:eastAsia="宋体" w:cs="宋体"/>
                <w:color w:val="auto"/>
                <w:kern w:val="0"/>
                <w:sz w:val="21"/>
                <w:szCs w:val="21"/>
                <w:highlight w:val="none"/>
                <w:lang w:val="zh-CN"/>
              </w:rPr>
            </w:pPr>
          </w:p>
        </w:tc>
        <w:tc>
          <w:tcPr>
            <w:tcW w:w="1612" w:type="dxa"/>
            <w:vMerge w:val="continue"/>
            <w:tcBorders>
              <w:tl2br w:val="nil"/>
              <w:tr2bl w:val="nil"/>
            </w:tcBorders>
            <w:vAlign w:val="center"/>
          </w:tcPr>
          <w:p w14:paraId="7120DAD2">
            <w:pPr>
              <w:keepNext w:val="0"/>
              <w:keepLines w:val="0"/>
              <w:suppressLineNumbers w:val="0"/>
              <w:spacing w:before="0" w:beforeAutospacing="0" w:after="0" w:afterAutospacing="0" w:line="460" w:lineRule="atLeast"/>
              <w:ind w:left="0" w:right="0"/>
              <w:jc w:val="center"/>
              <w:rPr>
                <w:rFonts w:hint="eastAsia" w:ascii="宋体" w:hAnsi="宋体" w:eastAsia="宋体" w:cs="宋体"/>
                <w:color w:val="auto"/>
                <w:kern w:val="0"/>
                <w:sz w:val="21"/>
                <w:szCs w:val="21"/>
                <w:highlight w:val="none"/>
                <w:lang w:val="zh-CN"/>
              </w:rPr>
            </w:pPr>
          </w:p>
        </w:tc>
        <w:tc>
          <w:tcPr>
            <w:tcW w:w="6419" w:type="dxa"/>
            <w:tcBorders>
              <w:tl2br w:val="nil"/>
              <w:tr2bl w:val="nil"/>
            </w:tcBorders>
            <w:vAlign w:val="top"/>
          </w:tcPr>
          <w:p w14:paraId="40814F69">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1.2中标人必须承担的货物运输、验收检测和提供货物操作说明书、图纸等其他类似的义务。</w:t>
            </w:r>
          </w:p>
        </w:tc>
      </w:tr>
      <w:tr w14:paraId="030256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63" w:type="dxa"/>
            <w:vMerge w:val="continue"/>
            <w:tcBorders>
              <w:tl2br w:val="nil"/>
              <w:tr2bl w:val="nil"/>
            </w:tcBorders>
            <w:vAlign w:val="center"/>
          </w:tcPr>
          <w:p w14:paraId="140204B2">
            <w:pPr>
              <w:keepNext w:val="0"/>
              <w:keepLines w:val="0"/>
              <w:suppressLineNumbers w:val="0"/>
              <w:spacing w:before="0" w:beforeAutospacing="0" w:after="0" w:afterAutospacing="0" w:line="460" w:lineRule="atLeast"/>
              <w:ind w:left="0" w:right="0"/>
              <w:jc w:val="center"/>
              <w:rPr>
                <w:rFonts w:hint="eastAsia" w:ascii="宋体" w:hAnsi="宋体" w:eastAsia="宋体" w:cs="宋体"/>
                <w:color w:val="auto"/>
                <w:kern w:val="0"/>
                <w:sz w:val="21"/>
                <w:szCs w:val="21"/>
                <w:highlight w:val="none"/>
                <w:lang w:val="zh-CN"/>
              </w:rPr>
            </w:pPr>
          </w:p>
        </w:tc>
        <w:tc>
          <w:tcPr>
            <w:tcW w:w="1612" w:type="dxa"/>
            <w:vMerge w:val="continue"/>
            <w:tcBorders>
              <w:tl2br w:val="nil"/>
              <w:tr2bl w:val="nil"/>
            </w:tcBorders>
            <w:vAlign w:val="center"/>
          </w:tcPr>
          <w:p w14:paraId="1123CD34">
            <w:pPr>
              <w:keepNext w:val="0"/>
              <w:keepLines w:val="0"/>
              <w:suppressLineNumbers w:val="0"/>
              <w:spacing w:before="0" w:beforeAutospacing="0" w:after="0" w:afterAutospacing="0" w:line="460" w:lineRule="atLeast"/>
              <w:ind w:left="0" w:right="0"/>
              <w:jc w:val="center"/>
              <w:rPr>
                <w:rFonts w:hint="eastAsia" w:ascii="宋体" w:hAnsi="宋体" w:eastAsia="宋体" w:cs="宋体"/>
                <w:color w:val="auto"/>
                <w:kern w:val="0"/>
                <w:sz w:val="21"/>
                <w:szCs w:val="21"/>
                <w:highlight w:val="none"/>
                <w:lang w:val="zh-CN"/>
              </w:rPr>
            </w:pPr>
          </w:p>
        </w:tc>
        <w:tc>
          <w:tcPr>
            <w:tcW w:w="6419" w:type="dxa"/>
            <w:tcBorders>
              <w:tl2br w:val="nil"/>
              <w:tr2bl w:val="nil"/>
            </w:tcBorders>
            <w:vAlign w:val="top"/>
          </w:tcPr>
          <w:p w14:paraId="66CF1A59">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1.3当货物抵达交货地点时，由中标人自行安排的工作人员和货运方验收货物并签收运单，采购人提供存放地点，对于货物运输过程出现的问题以及其他问题不负任何责任。</w:t>
            </w:r>
          </w:p>
        </w:tc>
      </w:tr>
      <w:tr w14:paraId="539F88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63" w:type="dxa"/>
            <w:tcBorders>
              <w:tl2br w:val="nil"/>
              <w:tr2bl w:val="nil"/>
            </w:tcBorders>
            <w:vAlign w:val="center"/>
          </w:tcPr>
          <w:p w14:paraId="3C6F25C3">
            <w:pPr>
              <w:keepNext w:val="0"/>
              <w:keepLines w:val="0"/>
              <w:suppressLineNumbers w:val="0"/>
              <w:spacing w:before="0" w:beforeAutospacing="0" w:after="0" w:afterAutospacing="0" w:line="460" w:lineRule="atLeast"/>
              <w:ind w:left="0" w:right="0"/>
              <w:jc w:val="center"/>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2</w:t>
            </w:r>
          </w:p>
        </w:tc>
        <w:tc>
          <w:tcPr>
            <w:tcW w:w="1612" w:type="dxa"/>
            <w:tcBorders>
              <w:tl2br w:val="nil"/>
              <w:tr2bl w:val="nil"/>
            </w:tcBorders>
            <w:vAlign w:val="center"/>
          </w:tcPr>
          <w:p w14:paraId="36617C31">
            <w:pPr>
              <w:keepNext w:val="0"/>
              <w:keepLines w:val="0"/>
              <w:suppressLineNumbers w:val="0"/>
              <w:spacing w:before="0" w:beforeAutospacing="0" w:after="0" w:afterAutospacing="0" w:line="460" w:lineRule="atLeast"/>
              <w:ind w:left="0" w:right="0"/>
              <w:jc w:val="center"/>
              <w:rPr>
                <w:rFonts w:hint="eastAsia" w:ascii="宋体" w:hAnsi="宋体" w:eastAsia="宋体" w:cs="宋体"/>
                <w:color w:val="auto"/>
                <w:kern w:val="0"/>
                <w:sz w:val="21"/>
                <w:szCs w:val="21"/>
                <w:highlight w:val="none"/>
                <w:lang w:val="zh-CN"/>
              </w:rPr>
            </w:pPr>
          </w:p>
          <w:p w14:paraId="1ADF1FF1">
            <w:pPr>
              <w:keepNext w:val="0"/>
              <w:keepLines w:val="0"/>
              <w:suppressLineNumbers w:val="0"/>
              <w:spacing w:before="0" w:beforeAutospacing="0" w:after="0" w:afterAutospacing="0" w:line="460" w:lineRule="atLeast"/>
              <w:ind w:left="0" w:right="0"/>
              <w:jc w:val="center"/>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报价方式及要求</w:t>
            </w:r>
          </w:p>
        </w:tc>
        <w:tc>
          <w:tcPr>
            <w:tcW w:w="6419" w:type="dxa"/>
            <w:tcBorders>
              <w:tl2br w:val="nil"/>
              <w:tr2bl w:val="nil"/>
            </w:tcBorders>
            <w:vAlign w:val="top"/>
          </w:tcPr>
          <w:p w14:paraId="0EEECA7E">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投标报价必须是人民币含税价（投标价包含所有费用，包含但不限于货物价格、税费、招标范围内所有货物、</w:t>
            </w:r>
            <w:r>
              <w:rPr>
                <w:rFonts w:hint="eastAsia" w:ascii="宋体" w:hAnsi="宋体" w:eastAsia="宋体" w:cs="宋体"/>
                <w:color w:val="auto"/>
                <w:kern w:val="0"/>
                <w:sz w:val="21"/>
                <w:szCs w:val="21"/>
                <w:highlight w:val="none"/>
                <w:lang w:val="en-US" w:eastAsia="zh-CN"/>
              </w:rPr>
              <w:t>运输</w:t>
            </w:r>
            <w:r>
              <w:rPr>
                <w:rFonts w:hint="eastAsia" w:ascii="宋体" w:hAnsi="宋体" w:eastAsia="宋体" w:cs="宋体"/>
                <w:color w:val="auto"/>
                <w:kern w:val="0"/>
                <w:sz w:val="21"/>
                <w:szCs w:val="21"/>
                <w:highlight w:val="none"/>
                <w:lang w:val="zh-CN"/>
              </w:rPr>
              <w:t>中的相关费用（包括</w:t>
            </w:r>
            <w:r>
              <w:rPr>
                <w:rFonts w:hint="eastAsia" w:ascii="宋体" w:hAnsi="宋体" w:eastAsia="宋体" w:cs="宋体"/>
                <w:color w:val="auto"/>
                <w:kern w:val="0"/>
                <w:sz w:val="21"/>
                <w:szCs w:val="21"/>
                <w:highlight w:val="none"/>
                <w:lang w:val="en-US" w:eastAsia="zh-CN"/>
              </w:rPr>
              <w:t>打样、生产</w:t>
            </w:r>
            <w:r>
              <w:rPr>
                <w:rFonts w:hint="eastAsia" w:ascii="宋体" w:hAnsi="宋体" w:eastAsia="宋体" w:cs="宋体"/>
                <w:color w:val="auto"/>
                <w:kern w:val="0"/>
                <w:sz w:val="21"/>
                <w:szCs w:val="21"/>
                <w:highlight w:val="none"/>
                <w:lang w:val="zh-CN"/>
              </w:rPr>
              <w:t>过程中损耗、额外材料、设计费等）、辅助设施及配件费、包装、运输、装卸、技术指导、培训、咨询、服务、保险、检测、验收合格交付使用之前以及技术和售后服务、质保期退运返修等其他所有费用）。</w:t>
            </w:r>
          </w:p>
        </w:tc>
      </w:tr>
      <w:tr w14:paraId="473A022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63" w:type="dxa"/>
            <w:vMerge w:val="restart"/>
            <w:tcBorders>
              <w:tl2br w:val="nil"/>
              <w:tr2bl w:val="nil"/>
            </w:tcBorders>
            <w:vAlign w:val="center"/>
          </w:tcPr>
          <w:p w14:paraId="53819AA1">
            <w:pPr>
              <w:keepNext w:val="0"/>
              <w:keepLines w:val="0"/>
              <w:suppressLineNumbers w:val="0"/>
              <w:spacing w:before="0" w:beforeAutospacing="0" w:after="0" w:afterAutospacing="0" w:line="460" w:lineRule="atLeast"/>
              <w:ind w:left="0" w:right="0"/>
              <w:jc w:val="center"/>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3</w:t>
            </w:r>
          </w:p>
        </w:tc>
        <w:tc>
          <w:tcPr>
            <w:tcW w:w="1612" w:type="dxa"/>
            <w:vMerge w:val="restart"/>
            <w:tcBorders>
              <w:tl2br w:val="nil"/>
              <w:tr2bl w:val="nil"/>
            </w:tcBorders>
            <w:vAlign w:val="center"/>
          </w:tcPr>
          <w:p w14:paraId="6ECF2705">
            <w:pPr>
              <w:keepNext w:val="0"/>
              <w:keepLines w:val="0"/>
              <w:suppressLineNumbers w:val="0"/>
              <w:spacing w:before="0" w:beforeAutospacing="0" w:after="0" w:afterAutospacing="0" w:line="460" w:lineRule="atLeast"/>
              <w:ind w:left="0" w:right="0"/>
              <w:jc w:val="center"/>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付款方式</w:t>
            </w:r>
          </w:p>
        </w:tc>
        <w:tc>
          <w:tcPr>
            <w:tcW w:w="6419" w:type="dxa"/>
            <w:tcBorders>
              <w:tl2br w:val="nil"/>
              <w:tr2bl w:val="nil"/>
            </w:tcBorders>
            <w:vAlign w:val="top"/>
          </w:tcPr>
          <w:p w14:paraId="5B1AC34B">
            <w:pPr>
              <w:pStyle w:val="4"/>
              <w:keepNext w:val="0"/>
              <w:keepLines w:val="0"/>
              <w:suppressLineNumbers w:val="0"/>
              <w:spacing w:before="0" w:beforeAutospacing="0" w:after="0" w:afterAutospacing="0"/>
              <w:ind w:left="0" w:right="0" w:firstLine="0"/>
              <w:jc w:val="both"/>
              <w:rPr>
                <w:rFonts w:hint="eastAsia" w:ascii="宋体" w:hAnsi="宋体" w:eastAsia="宋体" w:cs="宋体"/>
                <w:color w:val="auto"/>
                <w:kern w:val="0"/>
                <w:sz w:val="21"/>
                <w:szCs w:val="21"/>
                <w:highlight w:val="none"/>
                <w:lang w:val="en-US" w:eastAsia="zh-CN"/>
              </w:rPr>
            </w:pPr>
            <w:r>
              <w:rPr>
                <w:rFonts w:hint="eastAsia" w:ascii="宋体" w:hAnsi="宋体" w:eastAsia="宋体" w:cs="宋体"/>
                <w:b w:val="0"/>
                <w:bCs/>
                <w:sz w:val="21"/>
                <w:szCs w:val="21"/>
                <w:highlight w:val="none"/>
              </w:rPr>
              <w:t>★</w:t>
            </w:r>
            <w:r>
              <w:rPr>
                <w:rFonts w:hint="eastAsia" w:ascii="宋体" w:hAnsi="宋体" w:eastAsia="宋体" w:cs="宋体"/>
                <w:color w:val="auto"/>
                <w:kern w:val="0"/>
                <w:sz w:val="21"/>
                <w:szCs w:val="21"/>
                <w:highlight w:val="none"/>
                <w:lang w:val="en-US" w:eastAsia="zh-CN"/>
              </w:rPr>
              <w:t>3.1</w:t>
            </w:r>
            <w:r>
              <w:rPr>
                <w:rFonts w:hint="eastAsia" w:ascii="宋体" w:hAnsi="宋体" w:eastAsia="宋体" w:cs="宋体"/>
                <w:color w:val="auto"/>
                <w:kern w:val="0"/>
                <w:sz w:val="21"/>
                <w:szCs w:val="21"/>
                <w:highlight w:val="none"/>
                <w:lang w:val="zh-CN"/>
              </w:rPr>
              <w:t>货物全部到货且验收合格后，采购人向中标人支付项</w:t>
            </w:r>
            <w:r>
              <w:rPr>
                <w:rFonts w:hint="eastAsia" w:ascii="宋体" w:hAnsi="宋体" w:eastAsia="宋体" w:cs="宋体"/>
                <w:color w:val="auto"/>
                <w:kern w:val="0"/>
                <w:sz w:val="21"/>
                <w:szCs w:val="21"/>
                <w:highlight w:val="none"/>
                <w:lang w:val="en-US" w:eastAsia="zh-CN"/>
              </w:rPr>
              <w:t>合同总</w:t>
            </w:r>
            <w:r>
              <w:rPr>
                <w:rFonts w:hint="eastAsia" w:ascii="宋体" w:hAnsi="宋体" w:eastAsia="宋体" w:cs="宋体"/>
                <w:color w:val="auto"/>
                <w:kern w:val="0"/>
                <w:sz w:val="21"/>
                <w:szCs w:val="21"/>
                <w:highlight w:val="none"/>
                <w:lang w:val="zh-CN"/>
              </w:rPr>
              <w:t>金额的</w:t>
            </w:r>
            <w:r>
              <w:rPr>
                <w:rFonts w:hint="eastAsia" w:ascii="宋体" w:hAnsi="宋体" w:eastAsia="宋体" w:cs="宋体"/>
                <w:color w:val="auto"/>
                <w:kern w:val="0"/>
                <w:sz w:val="21"/>
                <w:szCs w:val="21"/>
                <w:highlight w:val="none"/>
                <w:lang w:val="en-US" w:eastAsia="zh-CN"/>
              </w:rPr>
              <w:t>100</w:t>
            </w:r>
            <w:r>
              <w:rPr>
                <w:rFonts w:hint="eastAsia" w:ascii="宋体" w:hAnsi="宋体" w:eastAsia="宋体" w:cs="宋体"/>
                <w:color w:val="auto"/>
                <w:kern w:val="0"/>
                <w:sz w:val="21"/>
                <w:szCs w:val="21"/>
                <w:highlight w:val="none"/>
                <w:lang w:val="zh-CN"/>
              </w:rPr>
              <w:t>%货款。中标人应向采购人提交正规税务发票，作为付款前提条件。</w:t>
            </w:r>
          </w:p>
        </w:tc>
      </w:tr>
      <w:tr w14:paraId="570C2B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63" w:type="dxa"/>
            <w:vMerge w:val="continue"/>
            <w:tcBorders>
              <w:tl2br w:val="nil"/>
              <w:tr2bl w:val="nil"/>
            </w:tcBorders>
            <w:vAlign w:val="center"/>
          </w:tcPr>
          <w:p w14:paraId="78C796BB">
            <w:pPr>
              <w:keepNext w:val="0"/>
              <w:keepLines w:val="0"/>
              <w:suppressLineNumbers w:val="0"/>
              <w:spacing w:before="0" w:beforeAutospacing="0" w:after="0" w:afterAutospacing="0" w:line="460" w:lineRule="atLeast"/>
              <w:ind w:left="0" w:right="0"/>
              <w:jc w:val="center"/>
              <w:rPr>
                <w:rFonts w:hint="eastAsia" w:ascii="宋体" w:hAnsi="宋体" w:eastAsia="宋体" w:cs="宋体"/>
                <w:color w:val="auto"/>
                <w:kern w:val="0"/>
                <w:sz w:val="21"/>
                <w:szCs w:val="21"/>
                <w:highlight w:val="none"/>
                <w:lang w:val="zh-CN"/>
              </w:rPr>
            </w:pPr>
          </w:p>
        </w:tc>
        <w:tc>
          <w:tcPr>
            <w:tcW w:w="1612" w:type="dxa"/>
            <w:vMerge w:val="continue"/>
            <w:tcBorders>
              <w:tl2br w:val="nil"/>
              <w:tr2bl w:val="nil"/>
            </w:tcBorders>
            <w:vAlign w:val="center"/>
          </w:tcPr>
          <w:p w14:paraId="44471613">
            <w:pPr>
              <w:keepNext w:val="0"/>
              <w:keepLines w:val="0"/>
              <w:suppressLineNumbers w:val="0"/>
              <w:spacing w:before="0" w:beforeAutospacing="0" w:after="0" w:afterAutospacing="0" w:line="460" w:lineRule="atLeast"/>
              <w:ind w:left="0" w:right="0"/>
              <w:jc w:val="center"/>
              <w:rPr>
                <w:rFonts w:hint="eastAsia" w:ascii="宋体" w:hAnsi="宋体" w:eastAsia="宋体" w:cs="宋体"/>
                <w:color w:val="auto"/>
                <w:kern w:val="0"/>
                <w:sz w:val="21"/>
                <w:szCs w:val="21"/>
                <w:highlight w:val="none"/>
                <w:lang w:val="zh-CN"/>
              </w:rPr>
            </w:pPr>
          </w:p>
        </w:tc>
        <w:tc>
          <w:tcPr>
            <w:tcW w:w="6419" w:type="dxa"/>
            <w:tcBorders>
              <w:tl2br w:val="nil"/>
              <w:tr2bl w:val="nil"/>
            </w:tcBorders>
            <w:vAlign w:val="top"/>
          </w:tcPr>
          <w:p w14:paraId="0319BB68">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kern w:val="0"/>
                <w:sz w:val="21"/>
                <w:szCs w:val="21"/>
                <w:highlight w:val="none"/>
                <w:lang w:val="zh-CN"/>
              </w:rPr>
            </w:pPr>
            <w:r>
              <w:rPr>
                <w:rFonts w:hint="eastAsia" w:ascii="宋体" w:hAnsi="宋体" w:eastAsia="宋体" w:cs="宋体"/>
                <w:color w:val="auto"/>
                <w:sz w:val="21"/>
                <w:szCs w:val="21"/>
                <w:highlight w:val="none"/>
                <w:lang w:val="en-US" w:eastAsia="zh-CN"/>
              </w:rPr>
              <w:t>3.</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rPr>
              <w:t>如因政府有关部门未批复财政资金及财政拨款未到位造成甲方付款迟延的，不视为甲方违约。</w:t>
            </w:r>
          </w:p>
        </w:tc>
      </w:tr>
      <w:tr w14:paraId="49DB67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63" w:type="dxa"/>
            <w:tcBorders>
              <w:tl2br w:val="nil"/>
              <w:tr2bl w:val="nil"/>
            </w:tcBorders>
            <w:vAlign w:val="center"/>
          </w:tcPr>
          <w:p w14:paraId="7BCB0093">
            <w:pPr>
              <w:keepNext w:val="0"/>
              <w:keepLines w:val="0"/>
              <w:suppressLineNumbers w:val="0"/>
              <w:spacing w:before="0" w:beforeAutospacing="0" w:after="0" w:afterAutospacing="0" w:line="460" w:lineRule="atLeast"/>
              <w:ind w:left="0" w:right="0"/>
              <w:jc w:val="center"/>
              <w:rPr>
                <w:rFonts w:hint="eastAsia" w:ascii="宋体" w:hAnsi="宋体" w:eastAsia="宋体" w:cs="宋体"/>
                <w:color w:val="auto"/>
                <w:kern w:val="0"/>
                <w:sz w:val="21"/>
                <w:szCs w:val="21"/>
                <w:highlight w:val="none"/>
                <w:lang w:val="zh-CN" w:eastAsia="zh-CN"/>
              </w:rPr>
            </w:pPr>
            <w:r>
              <w:rPr>
                <w:rFonts w:hint="eastAsia" w:ascii="宋体" w:hAnsi="宋体" w:eastAsia="宋体" w:cs="宋体"/>
                <w:color w:val="auto"/>
                <w:kern w:val="0"/>
                <w:sz w:val="21"/>
                <w:szCs w:val="21"/>
                <w:highlight w:val="none"/>
                <w:lang w:val="en-US" w:eastAsia="zh-CN"/>
              </w:rPr>
              <w:t>4</w:t>
            </w:r>
          </w:p>
        </w:tc>
        <w:tc>
          <w:tcPr>
            <w:tcW w:w="1612" w:type="dxa"/>
            <w:tcBorders>
              <w:tl2br w:val="nil"/>
              <w:tr2bl w:val="nil"/>
            </w:tcBorders>
            <w:vAlign w:val="center"/>
          </w:tcPr>
          <w:p w14:paraId="0A18194D">
            <w:pPr>
              <w:keepNext w:val="0"/>
              <w:keepLines w:val="0"/>
              <w:suppressLineNumbers w:val="0"/>
              <w:spacing w:before="0" w:beforeAutospacing="0" w:after="0" w:afterAutospacing="0" w:line="460" w:lineRule="atLeast"/>
              <w:ind w:left="0" w:right="0"/>
              <w:jc w:val="center"/>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运输及包装方式的要求</w:t>
            </w:r>
          </w:p>
        </w:tc>
        <w:tc>
          <w:tcPr>
            <w:tcW w:w="6419" w:type="dxa"/>
            <w:tcBorders>
              <w:tl2br w:val="nil"/>
              <w:tr2bl w:val="nil"/>
            </w:tcBorders>
            <w:vAlign w:val="top"/>
          </w:tcPr>
          <w:p w14:paraId="24ABF8A5">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en-US" w:eastAsia="zh-CN"/>
              </w:rPr>
              <w:t>4</w:t>
            </w:r>
            <w:r>
              <w:rPr>
                <w:rFonts w:hint="eastAsia" w:ascii="宋体" w:hAnsi="宋体" w:eastAsia="宋体" w:cs="宋体"/>
                <w:color w:val="auto"/>
                <w:kern w:val="0"/>
                <w:sz w:val="21"/>
                <w:szCs w:val="21"/>
                <w:highlight w:val="none"/>
                <w:lang w:val="zh-CN"/>
              </w:rPr>
              <w:t>.1货物的包装、运输由中标人负责，中标人应对任何由于不当包装或防护措施不利而导致的商品损坏、损失、费用增长等后果负责。</w:t>
            </w:r>
          </w:p>
        </w:tc>
      </w:tr>
      <w:tr w14:paraId="54A400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63" w:type="dxa"/>
            <w:vMerge w:val="restart"/>
            <w:tcBorders>
              <w:tl2br w:val="nil"/>
              <w:tr2bl w:val="nil"/>
            </w:tcBorders>
            <w:vAlign w:val="center"/>
          </w:tcPr>
          <w:p w14:paraId="7BFA07CA">
            <w:pPr>
              <w:keepNext w:val="0"/>
              <w:keepLines w:val="0"/>
              <w:suppressLineNumbers w:val="0"/>
              <w:spacing w:before="0" w:beforeAutospacing="0" w:after="0" w:afterAutospacing="0" w:line="460" w:lineRule="atLeast"/>
              <w:ind w:left="0" w:right="0"/>
              <w:jc w:val="center"/>
              <w:rPr>
                <w:rFonts w:hint="eastAsia" w:ascii="宋体" w:hAnsi="宋体" w:eastAsia="宋体" w:cs="宋体"/>
                <w:color w:val="auto"/>
                <w:kern w:val="0"/>
                <w:sz w:val="21"/>
                <w:szCs w:val="21"/>
                <w:highlight w:val="none"/>
                <w:lang w:val="zh-CN" w:eastAsia="zh-CN"/>
              </w:rPr>
            </w:pPr>
            <w:r>
              <w:rPr>
                <w:rFonts w:hint="eastAsia" w:ascii="宋体" w:hAnsi="宋体" w:eastAsia="宋体" w:cs="宋体"/>
                <w:color w:val="auto"/>
                <w:kern w:val="0"/>
                <w:sz w:val="21"/>
                <w:szCs w:val="21"/>
                <w:highlight w:val="none"/>
                <w:lang w:val="en-US" w:eastAsia="zh-CN"/>
              </w:rPr>
              <w:t>5</w:t>
            </w:r>
          </w:p>
        </w:tc>
        <w:tc>
          <w:tcPr>
            <w:tcW w:w="1612" w:type="dxa"/>
            <w:vMerge w:val="restart"/>
            <w:tcBorders>
              <w:tl2br w:val="nil"/>
              <w:tr2bl w:val="nil"/>
            </w:tcBorders>
            <w:vAlign w:val="center"/>
          </w:tcPr>
          <w:p w14:paraId="2B4C2F43">
            <w:pPr>
              <w:keepNext w:val="0"/>
              <w:keepLines w:val="0"/>
              <w:suppressLineNumbers w:val="0"/>
              <w:spacing w:before="0" w:beforeAutospacing="0" w:after="0" w:afterAutospacing="0" w:line="460" w:lineRule="atLeast"/>
              <w:ind w:left="0" w:right="0"/>
              <w:jc w:val="center"/>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安装、调试和验收</w:t>
            </w:r>
          </w:p>
        </w:tc>
        <w:tc>
          <w:tcPr>
            <w:tcW w:w="6419" w:type="dxa"/>
            <w:tcBorders>
              <w:tl2br w:val="nil"/>
              <w:tr2bl w:val="nil"/>
            </w:tcBorders>
            <w:vAlign w:val="top"/>
          </w:tcPr>
          <w:p w14:paraId="36736D0D">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en-US" w:eastAsia="zh-CN"/>
              </w:rPr>
              <w:t>5</w:t>
            </w:r>
            <w:r>
              <w:rPr>
                <w:rFonts w:hint="eastAsia" w:ascii="宋体" w:hAnsi="宋体" w:eastAsia="宋体" w:cs="宋体"/>
                <w:color w:val="auto"/>
                <w:kern w:val="0"/>
                <w:sz w:val="21"/>
                <w:szCs w:val="21"/>
                <w:highlight w:val="none"/>
                <w:lang w:val="zh-CN"/>
              </w:rPr>
              <w:t>.1中标人货物经过双方检验认可后，签署验收报告，产品保修期自验收合格之日起算，由中标人提供产品保修文件。</w:t>
            </w:r>
          </w:p>
        </w:tc>
      </w:tr>
      <w:tr w14:paraId="40471B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63" w:type="dxa"/>
            <w:vMerge w:val="continue"/>
            <w:tcBorders>
              <w:tl2br w:val="nil"/>
              <w:tr2bl w:val="nil"/>
            </w:tcBorders>
            <w:vAlign w:val="center"/>
          </w:tcPr>
          <w:p w14:paraId="01731060">
            <w:pPr>
              <w:keepNext w:val="0"/>
              <w:keepLines w:val="0"/>
              <w:suppressLineNumbers w:val="0"/>
              <w:spacing w:before="0" w:beforeAutospacing="0" w:after="0" w:afterAutospacing="0" w:line="460" w:lineRule="atLeast"/>
              <w:ind w:left="0" w:right="0"/>
              <w:jc w:val="center"/>
              <w:rPr>
                <w:rFonts w:hint="eastAsia" w:ascii="宋体" w:hAnsi="宋体" w:eastAsia="宋体" w:cs="宋体"/>
                <w:color w:val="auto"/>
                <w:kern w:val="0"/>
                <w:sz w:val="21"/>
                <w:szCs w:val="21"/>
                <w:highlight w:val="none"/>
                <w:lang w:val="zh-CN"/>
              </w:rPr>
            </w:pPr>
          </w:p>
        </w:tc>
        <w:tc>
          <w:tcPr>
            <w:tcW w:w="1612" w:type="dxa"/>
            <w:vMerge w:val="continue"/>
            <w:tcBorders>
              <w:tl2br w:val="nil"/>
              <w:tr2bl w:val="nil"/>
            </w:tcBorders>
            <w:vAlign w:val="center"/>
          </w:tcPr>
          <w:p w14:paraId="3E771E71">
            <w:pPr>
              <w:keepNext w:val="0"/>
              <w:keepLines w:val="0"/>
              <w:suppressLineNumbers w:val="0"/>
              <w:spacing w:before="0" w:beforeAutospacing="0" w:after="0" w:afterAutospacing="0" w:line="460" w:lineRule="atLeast"/>
              <w:ind w:left="0" w:right="0"/>
              <w:jc w:val="center"/>
              <w:rPr>
                <w:rFonts w:hint="eastAsia" w:ascii="宋体" w:hAnsi="宋体" w:eastAsia="宋体" w:cs="宋体"/>
                <w:color w:val="auto"/>
                <w:kern w:val="0"/>
                <w:sz w:val="21"/>
                <w:szCs w:val="21"/>
                <w:highlight w:val="none"/>
                <w:lang w:val="zh-CN"/>
              </w:rPr>
            </w:pPr>
          </w:p>
        </w:tc>
        <w:tc>
          <w:tcPr>
            <w:tcW w:w="6419" w:type="dxa"/>
            <w:tcBorders>
              <w:tl2br w:val="nil"/>
              <w:tr2bl w:val="nil"/>
            </w:tcBorders>
            <w:vAlign w:val="top"/>
          </w:tcPr>
          <w:p w14:paraId="54CC2111">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en-US" w:eastAsia="zh-CN"/>
              </w:rPr>
              <w:t>5</w:t>
            </w:r>
            <w:r>
              <w:rPr>
                <w:rFonts w:hint="eastAsia" w:ascii="宋体" w:hAnsi="宋体" w:eastAsia="宋体" w:cs="宋体"/>
                <w:color w:val="auto"/>
                <w:kern w:val="0"/>
                <w:sz w:val="21"/>
                <w:szCs w:val="21"/>
                <w:highlight w:val="none"/>
                <w:lang w:val="zh-CN"/>
              </w:rPr>
              <w:t>.2当满足以下条件时，采购人才向中标人签发货物验收报告：</w:t>
            </w:r>
          </w:p>
          <w:p w14:paraId="6BA4257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a、中标人已按照合同规定提供了全部产品及完整的技术资料。</w:t>
            </w:r>
          </w:p>
          <w:p w14:paraId="743B3E9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b、货物符合招标文件技术规格书的要求，性能满足要求。</w:t>
            </w:r>
          </w:p>
          <w:p w14:paraId="147EE6F8">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c、货物具备产品合格证。</w:t>
            </w:r>
          </w:p>
        </w:tc>
      </w:tr>
      <w:tr w14:paraId="52DAF16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63" w:type="dxa"/>
            <w:vMerge w:val="continue"/>
            <w:tcBorders>
              <w:tl2br w:val="nil"/>
              <w:tr2bl w:val="nil"/>
            </w:tcBorders>
            <w:vAlign w:val="center"/>
          </w:tcPr>
          <w:p w14:paraId="32FCEEE4">
            <w:pPr>
              <w:keepNext w:val="0"/>
              <w:keepLines w:val="0"/>
              <w:suppressLineNumbers w:val="0"/>
              <w:spacing w:before="0" w:beforeAutospacing="0" w:after="0" w:afterAutospacing="0" w:line="460" w:lineRule="atLeast"/>
              <w:ind w:left="0" w:right="0"/>
              <w:jc w:val="center"/>
              <w:rPr>
                <w:rFonts w:hint="eastAsia" w:ascii="宋体" w:hAnsi="宋体" w:eastAsia="宋体" w:cs="宋体"/>
                <w:color w:val="auto"/>
                <w:kern w:val="0"/>
                <w:sz w:val="21"/>
                <w:szCs w:val="21"/>
                <w:highlight w:val="none"/>
                <w:lang w:val="zh-CN"/>
              </w:rPr>
            </w:pPr>
          </w:p>
        </w:tc>
        <w:tc>
          <w:tcPr>
            <w:tcW w:w="1612" w:type="dxa"/>
            <w:vMerge w:val="continue"/>
            <w:tcBorders>
              <w:tl2br w:val="nil"/>
              <w:tr2bl w:val="nil"/>
            </w:tcBorders>
            <w:vAlign w:val="center"/>
          </w:tcPr>
          <w:p w14:paraId="2887D636">
            <w:pPr>
              <w:keepNext w:val="0"/>
              <w:keepLines w:val="0"/>
              <w:suppressLineNumbers w:val="0"/>
              <w:spacing w:before="0" w:beforeAutospacing="0" w:after="0" w:afterAutospacing="0" w:line="460" w:lineRule="atLeast"/>
              <w:ind w:left="0" w:right="0"/>
              <w:jc w:val="center"/>
              <w:rPr>
                <w:rFonts w:hint="eastAsia" w:ascii="宋体" w:hAnsi="宋体" w:eastAsia="宋体" w:cs="宋体"/>
                <w:color w:val="auto"/>
                <w:kern w:val="0"/>
                <w:sz w:val="21"/>
                <w:szCs w:val="21"/>
                <w:highlight w:val="none"/>
                <w:lang w:val="zh-CN"/>
              </w:rPr>
            </w:pPr>
          </w:p>
        </w:tc>
        <w:tc>
          <w:tcPr>
            <w:tcW w:w="6419" w:type="dxa"/>
            <w:tcBorders>
              <w:tl2br w:val="nil"/>
              <w:tr2bl w:val="nil"/>
            </w:tcBorders>
            <w:vAlign w:val="top"/>
          </w:tcPr>
          <w:p w14:paraId="7F9E1176">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en-US" w:eastAsia="zh-CN"/>
              </w:rPr>
              <w:t>5</w:t>
            </w:r>
            <w:r>
              <w:rPr>
                <w:rFonts w:hint="eastAsia" w:ascii="宋体" w:hAnsi="宋体" w:eastAsia="宋体" w:cs="宋体"/>
                <w:color w:val="auto"/>
                <w:kern w:val="0"/>
                <w:sz w:val="21"/>
                <w:szCs w:val="21"/>
                <w:highlight w:val="none"/>
                <w:lang w:val="zh-CN"/>
              </w:rPr>
              <w:t>.</w:t>
            </w:r>
            <w:r>
              <w:rPr>
                <w:rFonts w:hint="eastAsia" w:ascii="宋体" w:hAnsi="宋体" w:eastAsia="宋体" w:cs="宋体"/>
                <w:color w:val="auto"/>
                <w:kern w:val="0"/>
                <w:sz w:val="21"/>
                <w:szCs w:val="21"/>
                <w:highlight w:val="none"/>
                <w:lang w:val="en-US" w:eastAsia="zh-CN"/>
              </w:rPr>
              <w:t>3</w:t>
            </w:r>
            <w:r>
              <w:rPr>
                <w:rFonts w:hint="eastAsia" w:ascii="宋体" w:hAnsi="宋体" w:eastAsia="宋体" w:cs="宋体"/>
                <w:color w:val="auto"/>
                <w:kern w:val="0"/>
                <w:sz w:val="21"/>
                <w:szCs w:val="21"/>
                <w:highlight w:val="none"/>
                <w:lang w:val="zh-CN"/>
              </w:rPr>
              <w:t>货物运抵安装现场后，采购人将与中标人共同开箱验收, 如中标人届时不派人来,则验收结果应以采购人和当地商检人员的验收报告为最终验收结果。验收时发现短缺、破损, 采购人有权要求中标人立即补发和负责更换。</w:t>
            </w:r>
          </w:p>
        </w:tc>
      </w:tr>
      <w:tr w14:paraId="17F7E8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63" w:type="dxa"/>
            <w:vMerge w:val="continue"/>
            <w:tcBorders>
              <w:tl2br w:val="nil"/>
              <w:tr2bl w:val="nil"/>
            </w:tcBorders>
            <w:vAlign w:val="center"/>
          </w:tcPr>
          <w:p w14:paraId="0C93BC11">
            <w:pPr>
              <w:keepNext w:val="0"/>
              <w:keepLines w:val="0"/>
              <w:suppressLineNumbers w:val="0"/>
              <w:spacing w:before="0" w:beforeAutospacing="0" w:after="0" w:afterAutospacing="0" w:line="460" w:lineRule="atLeast"/>
              <w:ind w:left="0" w:right="0"/>
              <w:jc w:val="center"/>
              <w:rPr>
                <w:rFonts w:hint="eastAsia" w:ascii="宋体" w:hAnsi="宋体" w:eastAsia="宋体" w:cs="宋体"/>
                <w:color w:val="auto"/>
                <w:kern w:val="0"/>
                <w:sz w:val="21"/>
                <w:szCs w:val="21"/>
                <w:highlight w:val="none"/>
                <w:lang w:val="zh-CN"/>
              </w:rPr>
            </w:pPr>
          </w:p>
        </w:tc>
        <w:tc>
          <w:tcPr>
            <w:tcW w:w="1612" w:type="dxa"/>
            <w:vMerge w:val="continue"/>
            <w:tcBorders>
              <w:tl2br w:val="nil"/>
              <w:tr2bl w:val="nil"/>
            </w:tcBorders>
            <w:vAlign w:val="center"/>
          </w:tcPr>
          <w:p w14:paraId="0FBCDCCD">
            <w:pPr>
              <w:keepNext w:val="0"/>
              <w:keepLines w:val="0"/>
              <w:suppressLineNumbers w:val="0"/>
              <w:spacing w:before="0" w:beforeAutospacing="0" w:after="0" w:afterAutospacing="0" w:line="460" w:lineRule="atLeast"/>
              <w:ind w:left="0" w:right="0"/>
              <w:jc w:val="center"/>
              <w:rPr>
                <w:rFonts w:hint="eastAsia" w:ascii="宋体" w:hAnsi="宋体" w:eastAsia="宋体" w:cs="宋体"/>
                <w:color w:val="auto"/>
                <w:kern w:val="0"/>
                <w:sz w:val="21"/>
                <w:szCs w:val="21"/>
                <w:highlight w:val="none"/>
                <w:lang w:val="zh-CN"/>
              </w:rPr>
            </w:pPr>
          </w:p>
        </w:tc>
        <w:tc>
          <w:tcPr>
            <w:tcW w:w="6419" w:type="dxa"/>
            <w:tcBorders>
              <w:tl2br w:val="nil"/>
              <w:tr2bl w:val="nil"/>
            </w:tcBorders>
            <w:vAlign w:val="top"/>
          </w:tcPr>
          <w:p w14:paraId="057F3573">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en-US" w:eastAsia="zh-CN"/>
              </w:rPr>
              <w:t>5</w:t>
            </w:r>
            <w:r>
              <w:rPr>
                <w:rFonts w:hint="eastAsia" w:ascii="宋体" w:hAnsi="宋体" w:eastAsia="宋体" w:cs="宋体"/>
                <w:color w:val="auto"/>
                <w:kern w:val="0"/>
                <w:sz w:val="21"/>
                <w:szCs w:val="21"/>
                <w:highlight w:val="none"/>
                <w:lang w:val="zh-CN"/>
              </w:rPr>
              <w:t>.</w:t>
            </w:r>
            <w:r>
              <w:rPr>
                <w:rFonts w:hint="eastAsia" w:ascii="宋体" w:hAnsi="宋体" w:eastAsia="宋体" w:cs="宋体"/>
                <w:color w:val="auto"/>
                <w:kern w:val="0"/>
                <w:sz w:val="21"/>
                <w:szCs w:val="21"/>
                <w:highlight w:val="none"/>
                <w:lang w:val="en-US" w:eastAsia="zh-CN"/>
              </w:rPr>
              <w:t>4</w:t>
            </w:r>
            <w:r>
              <w:rPr>
                <w:rFonts w:hint="eastAsia" w:ascii="宋体" w:hAnsi="宋体" w:eastAsia="宋体" w:cs="宋体"/>
                <w:color w:val="auto"/>
                <w:kern w:val="0"/>
                <w:sz w:val="21"/>
                <w:szCs w:val="21"/>
                <w:highlight w:val="none"/>
                <w:lang w:val="zh-CN"/>
              </w:rPr>
              <w:t>保修期自最终安装验收合格后开始，保修期内卖方要保修除消耗品以外的所有部件。在保修期内，如果货物发生故障，中标人要调查故障原因并修复直至满足最终验收指标和性能的要求，或者更换整个或部分有缺陷的材料。以上都应是免费的。</w:t>
            </w:r>
          </w:p>
        </w:tc>
      </w:tr>
      <w:tr w14:paraId="7C97FC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63" w:type="dxa"/>
            <w:vMerge w:val="restart"/>
            <w:tcBorders>
              <w:tl2br w:val="nil"/>
              <w:tr2bl w:val="nil"/>
            </w:tcBorders>
            <w:vAlign w:val="center"/>
          </w:tcPr>
          <w:p w14:paraId="5E580256">
            <w:pPr>
              <w:keepNext w:val="0"/>
              <w:keepLines w:val="0"/>
              <w:suppressLineNumbers w:val="0"/>
              <w:spacing w:before="0" w:beforeAutospacing="0" w:after="0" w:afterAutospacing="0" w:line="460" w:lineRule="atLeast"/>
              <w:ind w:left="0" w:right="0"/>
              <w:jc w:val="center"/>
              <w:rPr>
                <w:rFonts w:hint="eastAsia" w:ascii="宋体" w:hAnsi="宋体" w:eastAsia="宋体" w:cs="宋体"/>
                <w:color w:val="auto"/>
                <w:kern w:val="0"/>
                <w:sz w:val="21"/>
                <w:szCs w:val="21"/>
                <w:highlight w:val="none"/>
                <w:lang w:val="zh-CN" w:eastAsia="zh-CN"/>
              </w:rPr>
            </w:pPr>
            <w:r>
              <w:rPr>
                <w:rFonts w:hint="eastAsia" w:ascii="宋体" w:hAnsi="宋体" w:eastAsia="宋体" w:cs="宋体"/>
                <w:color w:val="auto"/>
                <w:kern w:val="0"/>
                <w:sz w:val="21"/>
                <w:szCs w:val="21"/>
                <w:highlight w:val="none"/>
                <w:lang w:val="en-US" w:eastAsia="zh-CN"/>
              </w:rPr>
              <w:t>6</w:t>
            </w:r>
          </w:p>
        </w:tc>
        <w:tc>
          <w:tcPr>
            <w:tcW w:w="1612" w:type="dxa"/>
            <w:vMerge w:val="restart"/>
            <w:tcBorders>
              <w:tl2br w:val="nil"/>
              <w:tr2bl w:val="nil"/>
            </w:tcBorders>
            <w:vAlign w:val="center"/>
          </w:tcPr>
          <w:p w14:paraId="231EE9AA">
            <w:pPr>
              <w:keepNext w:val="0"/>
              <w:keepLines w:val="0"/>
              <w:suppressLineNumbers w:val="0"/>
              <w:spacing w:before="0" w:beforeAutospacing="0" w:after="0" w:afterAutospacing="0" w:line="460" w:lineRule="atLeast"/>
              <w:ind w:left="0" w:right="0"/>
              <w:jc w:val="center"/>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关于违约</w:t>
            </w:r>
          </w:p>
        </w:tc>
        <w:tc>
          <w:tcPr>
            <w:tcW w:w="6419" w:type="dxa"/>
            <w:tcBorders>
              <w:tl2br w:val="nil"/>
              <w:tr2bl w:val="nil"/>
            </w:tcBorders>
            <w:vAlign w:val="top"/>
          </w:tcPr>
          <w:p w14:paraId="1A1EE7ED">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en-US" w:eastAsia="zh-CN"/>
              </w:rPr>
              <w:t>6</w:t>
            </w:r>
            <w:r>
              <w:rPr>
                <w:rFonts w:hint="eastAsia" w:ascii="宋体" w:hAnsi="宋体" w:eastAsia="宋体" w:cs="宋体"/>
                <w:color w:val="auto"/>
                <w:kern w:val="0"/>
                <w:sz w:val="21"/>
                <w:szCs w:val="21"/>
                <w:highlight w:val="none"/>
                <w:lang w:val="zh-CN"/>
              </w:rPr>
              <w:t>.1中标人不能交货的，中标人须偿付不能交付部分货款的</w:t>
            </w:r>
            <w:r>
              <w:rPr>
                <w:rFonts w:hint="eastAsia" w:ascii="宋体" w:hAnsi="宋体" w:eastAsia="宋体" w:cs="宋体"/>
                <w:color w:val="auto"/>
                <w:kern w:val="0"/>
                <w:sz w:val="21"/>
                <w:szCs w:val="21"/>
                <w:highlight w:val="none"/>
                <w:u w:val="single"/>
                <w:lang w:val="zh-CN"/>
              </w:rPr>
              <w:t xml:space="preserve">  10  </w:t>
            </w:r>
            <w:r>
              <w:rPr>
                <w:rFonts w:hint="eastAsia" w:ascii="宋体" w:hAnsi="宋体" w:eastAsia="宋体" w:cs="宋体"/>
                <w:color w:val="auto"/>
                <w:kern w:val="0"/>
                <w:sz w:val="21"/>
                <w:szCs w:val="21"/>
                <w:highlight w:val="none"/>
                <w:lang w:val="zh-CN"/>
              </w:rPr>
              <w:t>%的违约金，并按主管部门相关规定处理。如采购人已支付定金（合同金额的</w:t>
            </w:r>
            <w:r>
              <w:rPr>
                <w:rFonts w:hint="eastAsia" w:ascii="宋体" w:hAnsi="宋体" w:eastAsia="宋体" w:cs="宋体"/>
                <w:color w:val="auto"/>
                <w:kern w:val="0"/>
                <w:sz w:val="21"/>
                <w:szCs w:val="21"/>
                <w:highlight w:val="none"/>
                <w:lang w:val="en-US" w:eastAsia="zh-CN"/>
              </w:rPr>
              <w:t>5</w:t>
            </w:r>
            <w:r>
              <w:rPr>
                <w:rFonts w:hint="eastAsia" w:ascii="宋体" w:hAnsi="宋体" w:eastAsia="宋体" w:cs="宋体"/>
                <w:color w:val="auto"/>
                <w:kern w:val="0"/>
                <w:sz w:val="21"/>
                <w:szCs w:val="21"/>
                <w:highlight w:val="none"/>
                <w:lang w:val="zh-CN"/>
              </w:rPr>
              <w:t>0%），中标人须无条件退还不能交货部分的货物定金（为货款的</w:t>
            </w:r>
            <w:r>
              <w:rPr>
                <w:rFonts w:hint="eastAsia" w:ascii="宋体" w:hAnsi="宋体" w:eastAsia="宋体" w:cs="宋体"/>
                <w:color w:val="auto"/>
                <w:kern w:val="0"/>
                <w:sz w:val="21"/>
                <w:szCs w:val="21"/>
                <w:highlight w:val="none"/>
                <w:lang w:val="en-US" w:eastAsia="zh-CN"/>
              </w:rPr>
              <w:t>5</w:t>
            </w:r>
            <w:r>
              <w:rPr>
                <w:rFonts w:hint="eastAsia" w:ascii="宋体" w:hAnsi="宋体" w:eastAsia="宋体" w:cs="宋体"/>
                <w:color w:val="auto"/>
                <w:kern w:val="0"/>
                <w:sz w:val="21"/>
                <w:szCs w:val="21"/>
                <w:highlight w:val="none"/>
                <w:lang w:val="zh-CN"/>
              </w:rPr>
              <w:t xml:space="preserve">0%）。 </w:t>
            </w:r>
          </w:p>
        </w:tc>
      </w:tr>
      <w:tr w14:paraId="546A658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63" w:type="dxa"/>
            <w:vMerge w:val="continue"/>
            <w:tcBorders>
              <w:tl2br w:val="nil"/>
              <w:tr2bl w:val="nil"/>
            </w:tcBorders>
            <w:vAlign w:val="center"/>
          </w:tcPr>
          <w:p w14:paraId="381E59DA">
            <w:pPr>
              <w:keepNext w:val="0"/>
              <w:keepLines w:val="0"/>
              <w:suppressLineNumbers w:val="0"/>
              <w:spacing w:before="0" w:beforeAutospacing="0" w:after="0" w:afterAutospacing="0" w:line="460" w:lineRule="atLeast"/>
              <w:ind w:left="0" w:right="0"/>
              <w:jc w:val="center"/>
              <w:rPr>
                <w:rFonts w:hint="eastAsia" w:ascii="宋体" w:hAnsi="宋体" w:eastAsia="宋体" w:cs="宋体"/>
                <w:color w:val="auto"/>
                <w:kern w:val="0"/>
                <w:sz w:val="21"/>
                <w:szCs w:val="21"/>
                <w:highlight w:val="none"/>
                <w:lang w:val="zh-CN"/>
              </w:rPr>
            </w:pPr>
          </w:p>
        </w:tc>
        <w:tc>
          <w:tcPr>
            <w:tcW w:w="1612" w:type="dxa"/>
            <w:vMerge w:val="continue"/>
            <w:tcBorders>
              <w:tl2br w:val="nil"/>
              <w:tr2bl w:val="nil"/>
            </w:tcBorders>
            <w:vAlign w:val="center"/>
          </w:tcPr>
          <w:p w14:paraId="140BCB12">
            <w:pPr>
              <w:keepNext w:val="0"/>
              <w:keepLines w:val="0"/>
              <w:suppressLineNumbers w:val="0"/>
              <w:spacing w:before="0" w:beforeAutospacing="0" w:after="0" w:afterAutospacing="0" w:line="460" w:lineRule="atLeast"/>
              <w:ind w:left="0" w:right="0"/>
              <w:jc w:val="center"/>
              <w:rPr>
                <w:rFonts w:hint="eastAsia" w:ascii="宋体" w:hAnsi="宋体" w:eastAsia="宋体" w:cs="宋体"/>
                <w:color w:val="auto"/>
                <w:kern w:val="0"/>
                <w:sz w:val="21"/>
                <w:szCs w:val="21"/>
                <w:highlight w:val="none"/>
                <w:lang w:val="zh-CN"/>
              </w:rPr>
            </w:pPr>
          </w:p>
        </w:tc>
        <w:tc>
          <w:tcPr>
            <w:tcW w:w="6419" w:type="dxa"/>
            <w:tcBorders>
              <w:tl2br w:val="nil"/>
              <w:tr2bl w:val="nil"/>
            </w:tcBorders>
            <w:vAlign w:val="top"/>
          </w:tcPr>
          <w:p w14:paraId="706EFC39">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en-US" w:eastAsia="zh-CN"/>
              </w:rPr>
              <w:t>6</w:t>
            </w:r>
            <w:r>
              <w:rPr>
                <w:rFonts w:hint="eastAsia" w:ascii="宋体" w:hAnsi="宋体" w:eastAsia="宋体" w:cs="宋体"/>
                <w:color w:val="auto"/>
                <w:kern w:val="0"/>
                <w:sz w:val="21"/>
                <w:szCs w:val="21"/>
                <w:highlight w:val="none"/>
                <w:lang w:val="zh-CN"/>
              </w:rPr>
              <w:t>.2中标人逾期交货的，将被没收履约保证金并按主管部门相关规定处理。</w:t>
            </w:r>
          </w:p>
        </w:tc>
      </w:tr>
      <w:tr w14:paraId="4AF667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63" w:type="dxa"/>
            <w:vMerge w:val="continue"/>
            <w:tcBorders>
              <w:tl2br w:val="nil"/>
              <w:tr2bl w:val="nil"/>
            </w:tcBorders>
            <w:vAlign w:val="center"/>
          </w:tcPr>
          <w:p w14:paraId="5D7263EE">
            <w:pPr>
              <w:keepNext w:val="0"/>
              <w:keepLines w:val="0"/>
              <w:suppressLineNumbers w:val="0"/>
              <w:spacing w:before="0" w:beforeAutospacing="0" w:after="0" w:afterAutospacing="0" w:line="460" w:lineRule="atLeast"/>
              <w:ind w:left="0" w:right="0"/>
              <w:jc w:val="center"/>
              <w:rPr>
                <w:rFonts w:hint="eastAsia" w:ascii="宋体" w:hAnsi="宋体" w:eastAsia="宋体" w:cs="宋体"/>
                <w:color w:val="auto"/>
                <w:kern w:val="0"/>
                <w:sz w:val="21"/>
                <w:szCs w:val="21"/>
                <w:highlight w:val="none"/>
                <w:lang w:val="zh-CN"/>
              </w:rPr>
            </w:pPr>
          </w:p>
        </w:tc>
        <w:tc>
          <w:tcPr>
            <w:tcW w:w="1612" w:type="dxa"/>
            <w:vMerge w:val="continue"/>
            <w:tcBorders>
              <w:tl2br w:val="nil"/>
              <w:tr2bl w:val="nil"/>
            </w:tcBorders>
            <w:vAlign w:val="center"/>
          </w:tcPr>
          <w:p w14:paraId="0097E6B7">
            <w:pPr>
              <w:keepNext w:val="0"/>
              <w:keepLines w:val="0"/>
              <w:suppressLineNumbers w:val="0"/>
              <w:spacing w:before="0" w:beforeAutospacing="0" w:after="0" w:afterAutospacing="0" w:line="460" w:lineRule="atLeast"/>
              <w:ind w:left="0" w:right="0"/>
              <w:jc w:val="center"/>
              <w:rPr>
                <w:rFonts w:hint="eastAsia" w:ascii="宋体" w:hAnsi="宋体" w:eastAsia="宋体" w:cs="宋体"/>
                <w:color w:val="auto"/>
                <w:kern w:val="0"/>
                <w:sz w:val="21"/>
                <w:szCs w:val="21"/>
                <w:highlight w:val="none"/>
                <w:lang w:val="zh-CN"/>
              </w:rPr>
            </w:pPr>
          </w:p>
        </w:tc>
        <w:tc>
          <w:tcPr>
            <w:tcW w:w="6419" w:type="dxa"/>
            <w:tcBorders>
              <w:tl2br w:val="nil"/>
              <w:tr2bl w:val="nil"/>
            </w:tcBorders>
            <w:vAlign w:val="top"/>
          </w:tcPr>
          <w:p w14:paraId="4D9E3AD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en-US" w:eastAsia="zh-CN"/>
              </w:rPr>
              <w:t>6</w:t>
            </w:r>
            <w:r>
              <w:rPr>
                <w:rFonts w:hint="eastAsia" w:ascii="宋体" w:hAnsi="宋体" w:eastAsia="宋体" w:cs="宋体"/>
                <w:color w:val="auto"/>
                <w:kern w:val="0"/>
                <w:sz w:val="21"/>
                <w:szCs w:val="21"/>
                <w:highlight w:val="none"/>
                <w:lang w:val="zh-CN"/>
              </w:rPr>
              <w:t>.3中标人所交付产品</w:t>
            </w:r>
            <w:r>
              <w:rPr>
                <w:rFonts w:hint="eastAsia" w:ascii="宋体" w:hAnsi="宋体" w:eastAsia="宋体" w:cs="宋体"/>
                <w:color w:val="auto"/>
                <w:kern w:val="0"/>
                <w:sz w:val="21"/>
                <w:szCs w:val="21"/>
                <w:highlight w:val="none"/>
                <w:lang w:val="en-US" w:eastAsia="zh-CN"/>
              </w:rPr>
              <w:t>及</w:t>
            </w:r>
            <w:r>
              <w:rPr>
                <w:rFonts w:hint="eastAsia" w:ascii="宋体" w:hAnsi="宋体" w:eastAsia="宋体" w:cs="宋体"/>
                <w:color w:val="auto"/>
                <w:kern w:val="0"/>
                <w:sz w:val="21"/>
                <w:szCs w:val="21"/>
                <w:highlight w:val="none"/>
                <w:lang w:val="zh-CN"/>
              </w:rPr>
              <w:t>服务不符合其投标承诺的，或在投标阶段为了中标而盲目虚假承诺、低价恶性竞争，在履约阶段则通过偷工减料、以次充好而获取利润的，将被没收履约保证金，并被深圳市政府采购中心评为履约等级“差”并按主管部门相关规定处理。</w:t>
            </w:r>
          </w:p>
        </w:tc>
      </w:tr>
      <w:tr w14:paraId="37990C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63" w:type="dxa"/>
            <w:vMerge w:val="restart"/>
            <w:tcBorders>
              <w:tl2br w:val="nil"/>
              <w:tr2bl w:val="nil"/>
            </w:tcBorders>
            <w:vAlign w:val="center"/>
          </w:tcPr>
          <w:p w14:paraId="0A9F7A9B">
            <w:pPr>
              <w:keepNext w:val="0"/>
              <w:keepLines w:val="0"/>
              <w:suppressLineNumbers w:val="0"/>
              <w:spacing w:before="0" w:beforeAutospacing="0" w:after="0" w:afterAutospacing="0" w:line="460" w:lineRule="atLeast"/>
              <w:ind w:left="0" w:right="0"/>
              <w:jc w:val="center"/>
              <w:rPr>
                <w:rFonts w:hint="eastAsia" w:ascii="宋体" w:hAnsi="宋体" w:eastAsia="宋体" w:cs="宋体"/>
                <w:color w:val="auto"/>
                <w:kern w:val="0"/>
                <w:sz w:val="21"/>
                <w:szCs w:val="21"/>
                <w:highlight w:val="none"/>
                <w:lang w:val="zh-CN" w:eastAsia="zh-CN"/>
              </w:rPr>
            </w:pPr>
            <w:r>
              <w:rPr>
                <w:rFonts w:hint="eastAsia" w:ascii="宋体" w:hAnsi="宋体" w:eastAsia="宋体" w:cs="宋体"/>
                <w:color w:val="auto"/>
                <w:kern w:val="0"/>
                <w:sz w:val="21"/>
                <w:szCs w:val="21"/>
                <w:highlight w:val="none"/>
                <w:lang w:val="en-US" w:eastAsia="zh-CN"/>
              </w:rPr>
              <w:t>7</w:t>
            </w:r>
          </w:p>
        </w:tc>
        <w:tc>
          <w:tcPr>
            <w:tcW w:w="1612" w:type="dxa"/>
            <w:vMerge w:val="restart"/>
            <w:tcBorders>
              <w:tl2br w:val="nil"/>
              <w:tr2bl w:val="nil"/>
            </w:tcBorders>
            <w:vAlign w:val="center"/>
          </w:tcPr>
          <w:p w14:paraId="104F0E9D">
            <w:pPr>
              <w:keepNext w:val="0"/>
              <w:keepLines w:val="0"/>
              <w:suppressLineNumbers w:val="0"/>
              <w:spacing w:before="0" w:beforeAutospacing="0" w:after="0" w:afterAutospacing="0" w:line="460" w:lineRule="atLeast"/>
              <w:ind w:left="0" w:right="0"/>
              <w:jc w:val="center"/>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关于质量及知识产权要求</w:t>
            </w:r>
          </w:p>
        </w:tc>
        <w:tc>
          <w:tcPr>
            <w:tcW w:w="6419" w:type="dxa"/>
            <w:tcBorders>
              <w:tl2br w:val="nil"/>
              <w:tr2bl w:val="nil"/>
            </w:tcBorders>
            <w:vAlign w:val="top"/>
          </w:tcPr>
          <w:p w14:paraId="452E928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en-US" w:eastAsia="zh-CN"/>
              </w:rPr>
              <w:t>7</w:t>
            </w:r>
            <w:r>
              <w:rPr>
                <w:rFonts w:hint="eastAsia" w:ascii="宋体" w:hAnsi="宋体" w:eastAsia="宋体" w:cs="宋体"/>
                <w:color w:val="auto"/>
                <w:kern w:val="0"/>
                <w:sz w:val="21"/>
                <w:szCs w:val="21"/>
                <w:highlight w:val="none"/>
                <w:lang w:val="zh-CN"/>
              </w:rPr>
              <w:t>.1卖方提供完好、全新的原包装产品（包括零配件），随机技术资料齐全。产品符合国家质量检测标准，必须具有生产日期、厂名、厂址、产品合格证等。</w:t>
            </w:r>
          </w:p>
        </w:tc>
      </w:tr>
      <w:tr w14:paraId="61B063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63" w:type="dxa"/>
            <w:vMerge w:val="continue"/>
            <w:tcBorders>
              <w:tl2br w:val="nil"/>
              <w:tr2bl w:val="nil"/>
            </w:tcBorders>
            <w:vAlign w:val="center"/>
          </w:tcPr>
          <w:p w14:paraId="544DE9AE">
            <w:pPr>
              <w:keepNext w:val="0"/>
              <w:keepLines w:val="0"/>
              <w:suppressLineNumbers w:val="0"/>
              <w:spacing w:before="0" w:beforeAutospacing="0" w:after="0" w:afterAutospacing="0" w:line="460" w:lineRule="atLeast"/>
              <w:ind w:left="0" w:right="0"/>
              <w:jc w:val="center"/>
              <w:rPr>
                <w:rFonts w:hint="eastAsia" w:ascii="宋体" w:hAnsi="宋体" w:eastAsia="宋体" w:cs="宋体"/>
                <w:color w:val="auto"/>
                <w:kern w:val="0"/>
                <w:sz w:val="21"/>
                <w:szCs w:val="21"/>
                <w:highlight w:val="none"/>
                <w:lang w:val="zh-CN"/>
              </w:rPr>
            </w:pPr>
          </w:p>
        </w:tc>
        <w:tc>
          <w:tcPr>
            <w:tcW w:w="1612" w:type="dxa"/>
            <w:vMerge w:val="continue"/>
            <w:tcBorders>
              <w:tl2br w:val="nil"/>
              <w:tr2bl w:val="nil"/>
            </w:tcBorders>
            <w:vAlign w:val="center"/>
          </w:tcPr>
          <w:p w14:paraId="1B0C2D98">
            <w:pPr>
              <w:keepNext w:val="0"/>
              <w:keepLines w:val="0"/>
              <w:suppressLineNumbers w:val="0"/>
              <w:spacing w:before="0" w:beforeAutospacing="0" w:after="0" w:afterAutospacing="0" w:line="460" w:lineRule="atLeast"/>
              <w:ind w:left="0" w:right="0"/>
              <w:jc w:val="center"/>
              <w:rPr>
                <w:rFonts w:hint="eastAsia" w:ascii="宋体" w:hAnsi="宋体" w:eastAsia="宋体" w:cs="宋体"/>
                <w:color w:val="auto"/>
                <w:kern w:val="0"/>
                <w:sz w:val="21"/>
                <w:szCs w:val="21"/>
                <w:highlight w:val="none"/>
                <w:lang w:val="zh-CN"/>
              </w:rPr>
            </w:pPr>
          </w:p>
        </w:tc>
        <w:tc>
          <w:tcPr>
            <w:tcW w:w="6419" w:type="dxa"/>
            <w:tcBorders>
              <w:tl2br w:val="nil"/>
              <w:tr2bl w:val="nil"/>
            </w:tcBorders>
            <w:vAlign w:val="top"/>
          </w:tcPr>
          <w:p w14:paraId="2DC8784D">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en-US" w:eastAsia="zh-CN"/>
              </w:rPr>
              <w:t>7</w:t>
            </w:r>
            <w:r>
              <w:rPr>
                <w:rFonts w:hint="eastAsia" w:ascii="宋体" w:hAnsi="宋体" w:eastAsia="宋体" w:cs="宋体"/>
                <w:color w:val="auto"/>
                <w:kern w:val="0"/>
                <w:sz w:val="21"/>
                <w:szCs w:val="21"/>
                <w:highlight w:val="none"/>
                <w:lang w:val="zh-CN"/>
              </w:rPr>
              <w:t>.2</w:t>
            </w:r>
            <w:r>
              <w:rPr>
                <w:rFonts w:hint="eastAsia" w:ascii="宋体" w:hAnsi="宋体" w:eastAsia="宋体" w:cs="宋体"/>
                <w:color w:val="auto"/>
                <w:kern w:val="0"/>
                <w:sz w:val="21"/>
                <w:szCs w:val="21"/>
                <w:highlight w:val="none"/>
                <w:lang w:val="en-US" w:eastAsia="zh-CN"/>
              </w:rPr>
              <w:t>中标人需具有良好的知识产权管理体系，</w:t>
            </w:r>
            <w:r>
              <w:rPr>
                <w:rFonts w:hint="eastAsia" w:ascii="宋体" w:hAnsi="宋体" w:eastAsia="宋体" w:cs="宋体"/>
                <w:color w:val="auto"/>
                <w:kern w:val="0"/>
                <w:sz w:val="21"/>
                <w:szCs w:val="21"/>
                <w:highlight w:val="none"/>
                <w:lang w:val="zh-CN"/>
              </w:rPr>
              <w:t>买方在中国使用该货物或货物的任何一部分时，免受第三方提出的侵犯其专利权、商标权或工业设计权等知识产权的起诉或司法干预。如果发生上述起诉或干预，则其法律责任均由卖方负责。</w:t>
            </w:r>
          </w:p>
        </w:tc>
      </w:tr>
      <w:tr w14:paraId="069CE2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63" w:type="dxa"/>
            <w:tcBorders>
              <w:tl2br w:val="nil"/>
              <w:tr2bl w:val="nil"/>
            </w:tcBorders>
            <w:vAlign w:val="center"/>
          </w:tcPr>
          <w:p w14:paraId="2BCB2976">
            <w:pPr>
              <w:keepNext w:val="0"/>
              <w:keepLines w:val="0"/>
              <w:suppressLineNumbers w:val="0"/>
              <w:spacing w:before="0" w:beforeAutospacing="0" w:after="0" w:afterAutospacing="0" w:line="460" w:lineRule="atLeast"/>
              <w:ind w:left="0" w:right="0"/>
              <w:jc w:val="center"/>
              <w:rPr>
                <w:rFonts w:hint="eastAsia" w:ascii="宋体" w:hAnsi="宋体" w:eastAsia="宋体" w:cs="宋体"/>
                <w:color w:val="auto"/>
                <w:kern w:val="0"/>
                <w:sz w:val="21"/>
                <w:szCs w:val="21"/>
                <w:highlight w:val="none"/>
                <w:lang w:val="zh-CN" w:eastAsia="zh-CN"/>
              </w:rPr>
            </w:pPr>
            <w:r>
              <w:rPr>
                <w:rFonts w:hint="eastAsia" w:ascii="宋体" w:hAnsi="宋体" w:eastAsia="宋体" w:cs="宋体"/>
                <w:color w:val="auto"/>
                <w:kern w:val="0"/>
                <w:sz w:val="21"/>
                <w:szCs w:val="21"/>
                <w:highlight w:val="none"/>
                <w:lang w:val="en-US" w:eastAsia="zh-CN"/>
              </w:rPr>
              <w:t>8</w:t>
            </w:r>
          </w:p>
        </w:tc>
        <w:tc>
          <w:tcPr>
            <w:tcW w:w="1612" w:type="dxa"/>
            <w:tcBorders>
              <w:tl2br w:val="nil"/>
              <w:tr2bl w:val="nil"/>
            </w:tcBorders>
            <w:vAlign w:val="center"/>
          </w:tcPr>
          <w:p w14:paraId="017847A0">
            <w:pPr>
              <w:keepNext w:val="0"/>
              <w:keepLines w:val="0"/>
              <w:suppressLineNumbers w:val="0"/>
              <w:spacing w:before="0" w:beforeAutospacing="0" w:after="0" w:afterAutospacing="0" w:line="460" w:lineRule="atLeast"/>
              <w:ind w:left="0" w:right="0"/>
              <w:jc w:val="center"/>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关于安全</w:t>
            </w:r>
          </w:p>
        </w:tc>
        <w:tc>
          <w:tcPr>
            <w:tcW w:w="6419" w:type="dxa"/>
            <w:tcBorders>
              <w:tl2br w:val="nil"/>
              <w:tr2bl w:val="nil"/>
            </w:tcBorders>
            <w:vAlign w:val="top"/>
          </w:tcPr>
          <w:p w14:paraId="7F18CB3D">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kern w:val="0"/>
                <w:sz w:val="21"/>
                <w:szCs w:val="21"/>
                <w:highlight w:val="none"/>
                <w:lang w:val="zh-CN"/>
              </w:rPr>
            </w:pPr>
            <w:r>
              <w:rPr>
                <w:rFonts w:hint="eastAsia" w:ascii="宋体" w:hAnsi="宋体" w:eastAsia="宋体" w:cs="宋体"/>
                <w:bCs/>
                <w:color w:val="auto"/>
                <w:sz w:val="21"/>
                <w:szCs w:val="21"/>
                <w:highlight w:val="none"/>
              </w:rPr>
              <w:t>在项目验收前的</w:t>
            </w:r>
            <w:r>
              <w:rPr>
                <w:rFonts w:hint="eastAsia" w:ascii="宋体" w:hAnsi="宋体" w:eastAsia="宋体" w:cs="宋体"/>
                <w:bCs/>
                <w:color w:val="auto"/>
                <w:sz w:val="21"/>
                <w:szCs w:val="21"/>
                <w:highlight w:val="none"/>
                <w:lang w:val="en-US" w:eastAsia="zh-CN"/>
              </w:rPr>
              <w:t>生产、</w:t>
            </w:r>
            <w:r>
              <w:rPr>
                <w:rFonts w:hint="eastAsia" w:ascii="宋体" w:hAnsi="宋体" w:eastAsia="宋体" w:cs="宋体"/>
                <w:bCs/>
                <w:color w:val="auto"/>
                <w:sz w:val="21"/>
                <w:szCs w:val="21"/>
                <w:highlight w:val="none"/>
              </w:rPr>
              <w:t>送货期和项目验收后的免费售后服务保修期内，中标人都应严格履行安全生产工作管理制度</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lang w:val="en-US" w:eastAsia="zh-CN"/>
              </w:rPr>
              <w:t>中标人应就生产、送货、安装、验收、服务中突发事件的提供相关应急预案等</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rPr>
              <w:t>，在</w:t>
            </w:r>
            <w:r>
              <w:rPr>
                <w:rFonts w:hint="eastAsia" w:ascii="宋体" w:hAnsi="宋体" w:eastAsia="宋体" w:cs="宋体"/>
                <w:bCs/>
                <w:color w:val="auto"/>
                <w:sz w:val="21"/>
                <w:szCs w:val="21"/>
                <w:highlight w:val="none"/>
                <w:lang w:val="en-US" w:eastAsia="zh-CN"/>
              </w:rPr>
              <w:t>生产、</w:t>
            </w:r>
            <w:r>
              <w:rPr>
                <w:rFonts w:hint="eastAsia" w:ascii="宋体" w:hAnsi="宋体" w:eastAsia="宋体" w:cs="宋体"/>
                <w:bCs/>
                <w:color w:val="auto"/>
                <w:sz w:val="21"/>
                <w:szCs w:val="21"/>
                <w:highlight w:val="none"/>
              </w:rPr>
              <w:t>送货、搬运、安装等整个服务过程中造成的任何人员和财产损失风险均由中标人全部负责。</w:t>
            </w:r>
          </w:p>
        </w:tc>
      </w:tr>
      <w:tr w14:paraId="3483BC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63" w:type="dxa"/>
            <w:vMerge w:val="restart"/>
            <w:tcBorders>
              <w:tl2br w:val="nil"/>
              <w:tr2bl w:val="nil"/>
            </w:tcBorders>
            <w:vAlign w:val="center"/>
          </w:tcPr>
          <w:p w14:paraId="01F9CD31">
            <w:pPr>
              <w:keepNext w:val="0"/>
              <w:keepLines w:val="0"/>
              <w:suppressLineNumbers w:val="0"/>
              <w:spacing w:before="0" w:beforeAutospacing="0" w:after="0" w:afterAutospacing="0" w:line="460" w:lineRule="atLeast"/>
              <w:ind w:left="0" w:right="0"/>
              <w:jc w:val="center"/>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val="en-US" w:eastAsia="zh-CN"/>
              </w:rPr>
              <w:t>9</w:t>
            </w:r>
          </w:p>
        </w:tc>
        <w:tc>
          <w:tcPr>
            <w:tcW w:w="1612" w:type="dxa"/>
            <w:vMerge w:val="restart"/>
            <w:tcBorders>
              <w:tl2br w:val="nil"/>
              <w:tr2bl w:val="nil"/>
            </w:tcBorders>
            <w:vAlign w:val="center"/>
          </w:tcPr>
          <w:p w14:paraId="1FEE0040">
            <w:pPr>
              <w:keepNext w:val="0"/>
              <w:keepLines w:val="0"/>
              <w:suppressLineNumbers w:val="0"/>
              <w:spacing w:before="0" w:beforeAutospacing="0" w:after="0" w:afterAutospacing="0" w:line="460" w:lineRule="atLeast"/>
              <w:ind w:left="0" w:right="0"/>
              <w:jc w:val="center"/>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其他</w:t>
            </w:r>
          </w:p>
        </w:tc>
        <w:tc>
          <w:tcPr>
            <w:tcW w:w="6419" w:type="dxa"/>
            <w:tcBorders>
              <w:tl2br w:val="nil"/>
              <w:tr2bl w:val="nil"/>
            </w:tcBorders>
            <w:vAlign w:val="top"/>
          </w:tcPr>
          <w:p w14:paraId="22489B51">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9</w:t>
            </w:r>
            <w:r>
              <w:rPr>
                <w:rFonts w:hint="eastAsia" w:ascii="宋体" w:hAnsi="宋体" w:eastAsia="宋体" w:cs="宋体"/>
                <w:color w:val="auto"/>
                <w:kern w:val="0"/>
                <w:sz w:val="21"/>
                <w:szCs w:val="21"/>
                <w:highlight w:val="none"/>
                <w:lang w:val="zh-CN"/>
              </w:rPr>
              <w:t>.1中标人必须提供全新的原厂原装货物和完善的服务。</w:t>
            </w:r>
          </w:p>
        </w:tc>
      </w:tr>
      <w:tr w14:paraId="3604A4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63" w:type="dxa"/>
            <w:vMerge w:val="continue"/>
            <w:tcBorders>
              <w:tl2br w:val="nil"/>
              <w:tr2bl w:val="nil"/>
            </w:tcBorders>
            <w:vAlign w:val="center"/>
          </w:tcPr>
          <w:p w14:paraId="4B6F1B0C">
            <w:pPr>
              <w:keepNext w:val="0"/>
              <w:keepLines w:val="0"/>
              <w:suppressLineNumbers w:val="0"/>
              <w:spacing w:before="0" w:beforeAutospacing="0" w:after="0" w:afterAutospacing="0" w:line="460" w:lineRule="atLeast"/>
              <w:ind w:left="0" w:right="0"/>
              <w:jc w:val="center"/>
              <w:rPr>
                <w:rFonts w:hint="eastAsia" w:ascii="宋体" w:hAnsi="宋体" w:eastAsia="宋体" w:cs="宋体"/>
                <w:color w:val="auto"/>
                <w:kern w:val="0"/>
                <w:sz w:val="21"/>
                <w:szCs w:val="21"/>
                <w:highlight w:val="none"/>
                <w:lang w:val="zh-CN"/>
              </w:rPr>
            </w:pPr>
          </w:p>
        </w:tc>
        <w:tc>
          <w:tcPr>
            <w:tcW w:w="1612" w:type="dxa"/>
            <w:vMerge w:val="continue"/>
            <w:tcBorders>
              <w:tl2br w:val="nil"/>
              <w:tr2bl w:val="nil"/>
            </w:tcBorders>
            <w:vAlign w:val="top"/>
          </w:tcPr>
          <w:p w14:paraId="3AB574D3">
            <w:pPr>
              <w:keepNext w:val="0"/>
              <w:keepLines w:val="0"/>
              <w:suppressLineNumbers w:val="0"/>
              <w:spacing w:before="0" w:beforeAutospacing="0" w:after="0" w:afterAutospacing="0" w:line="460" w:lineRule="atLeast"/>
              <w:ind w:left="0" w:right="0"/>
              <w:jc w:val="center"/>
              <w:rPr>
                <w:rFonts w:hint="eastAsia" w:ascii="宋体" w:hAnsi="宋体" w:eastAsia="宋体" w:cs="宋体"/>
                <w:color w:val="auto"/>
                <w:kern w:val="0"/>
                <w:sz w:val="21"/>
                <w:szCs w:val="21"/>
                <w:highlight w:val="none"/>
                <w:lang w:val="zh-CN"/>
              </w:rPr>
            </w:pPr>
          </w:p>
        </w:tc>
        <w:tc>
          <w:tcPr>
            <w:tcW w:w="6419" w:type="dxa"/>
            <w:tcBorders>
              <w:tl2br w:val="nil"/>
              <w:tr2bl w:val="nil"/>
            </w:tcBorders>
            <w:vAlign w:val="top"/>
          </w:tcPr>
          <w:p w14:paraId="227A58F3">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en-US" w:eastAsia="zh-CN"/>
              </w:rPr>
              <w:t>9</w:t>
            </w:r>
            <w:r>
              <w:rPr>
                <w:rFonts w:hint="eastAsia" w:ascii="宋体" w:hAnsi="宋体" w:eastAsia="宋体" w:cs="宋体"/>
                <w:color w:val="auto"/>
                <w:kern w:val="0"/>
                <w:sz w:val="21"/>
                <w:szCs w:val="21"/>
                <w:highlight w:val="none"/>
                <w:lang w:val="zh-CN"/>
              </w:rPr>
              <w:t>.2伴随服务（费用包含在各子包投标总价内）：全部货物的技术设计、运输、安装调试、人员培训、售后服务、含税等费用。</w:t>
            </w:r>
          </w:p>
        </w:tc>
      </w:tr>
      <w:tr w14:paraId="0803F94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63" w:type="dxa"/>
            <w:vMerge w:val="continue"/>
            <w:tcBorders>
              <w:tl2br w:val="nil"/>
              <w:tr2bl w:val="nil"/>
            </w:tcBorders>
            <w:vAlign w:val="center"/>
          </w:tcPr>
          <w:p w14:paraId="1DCFEECB">
            <w:pPr>
              <w:keepNext w:val="0"/>
              <w:keepLines w:val="0"/>
              <w:suppressLineNumbers w:val="0"/>
              <w:spacing w:before="0" w:beforeAutospacing="0" w:after="0" w:afterAutospacing="0" w:line="460" w:lineRule="atLeast"/>
              <w:ind w:left="0" w:right="0"/>
              <w:jc w:val="center"/>
              <w:rPr>
                <w:rFonts w:hint="eastAsia" w:ascii="宋体" w:hAnsi="宋体" w:eastAsia="宋体" w:cs="宋体"/>
                <w:color w:val="auto"/>
                <w:kern w:val="0"/>
                <w:sz w:val="21"/>
                <w:szCs w:val="21"/>
                <w:highlight w:val="none"/>
                <w:lang w:val="zh-CN"/>
              </w:rPr>
            </w:pPr>
          </w:p>
        </w:tc>
        <w:tc>
          <w:tcPr>
            <w:tcW w:w="1612" w:type="dxa"/>
            <w:vMerge w:val="continue"/>
            <w:tcBorders>
              <w:tl2br w:val="nil"/>
              <w:tr2bl w:val="nil"/>
            </w:tcBorders>
            <w:vAlign w:val="top"/>
          </w:tcPr>
          <w:p w14:paraId="30435811">
            <w:pPr>
              <w:keepNext w:val="0"/>
              <w:keepLines w:val="0"/>
              <w:suppressLineNumbers w:val="0"/>
              <w:spacing w:before="0" w:beforeAutospacing="0" w:after="0" w:afterAutospacing="0" w:line="460" w:lineRule="atLeast"/>
              <w:ind w:left="0" w:right="0"/>
              <w:jc w:val="center"/>
              <w:rPr>
                <w:rFonts w:hint="eastAsia" w:ascii="宋体" w:hAnsi="宋体" w:eastAsia="宋体" w:cs="宋体"/>
                <w:color w:val="auto"/>
                <w:kern w:val="0"/>
                <w:sz w:val="21"/>
                <w:szCs w:val="21"/>
                <w:highlight w:val="none"/>
                <w:lang w:val="zh-CN"/>
              </w:rPr>
            </w:pPr>
          </w:p>
        </w:tc>
        <w:tc>
          <w:tcPr>
            <w:tcW w:w="6419" w:type="dxa"/>
            <w:tcBorders>
              <w:tl2br w:val="nil"/>
              <w:tr2bl w:val="nil"/>
            </w:tcBorders>
            <w:vAlign w:val="top"/>
          </w:tcPr>
          <w:p w14:paraId="373015B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en-US" w:eastAsia="zh-CN"/>
              </w:rPr>
              <w:t>9</w:t>
            </w:r>
            <w:r>
              <w:rPr>
                <w:rFonts w:hint="eastAsia" w:ascii="宋体" w:hAnsi="宋体" w:eastAsia="宋体" w:cs="宋体"/>
                <w:color w:val="auto"/>
                <w:kern w:val="0"/>
                <w:sz w:val="21"/>
                <w:szCs w:val="21"/>
                <w:highlight w:val="none"/>
                <w:lang w:val="zh-CN"/>
              </w:rPr>
              <w:t>.3中标人在投标文件中应对所投货物进行详细说明及提供详细随机配置清单。</w:t>
            </w:r>
          </w:p>
        </w:tc>
      </w:tr>
      <w:tr w14:paraId="5E7428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63" w:type="dxa"/>
            <w:vMerge w:val="continue"/>
            <w:tcBorders>
              <w:tl2br w:val="nil"/>
              <w:tr2bl w:val="nil"/>
            </w:tcBorders>
            <w:vAlign w:val="center"/>
          </w:tcPr>
          <w:p w14:paraId="064F9942">
            <w:pPr>
              <w:keepNext w:val="0"/>
              <w:keepLines w:val="0"/>
              <w:suppressLineNumbers w:val="0"/>
              <w:spacing w:before="0" w:beforeAutospacing="0" w:after="0" w:afterAutospacing="0" w:line="460" w:lineRule="atLeast"/>
              <w:ind w:left="0" w:right="0"/>
              <w:jc w:val="center"/>
              <w:rPr>
                <w:rFonts w:hint="eastAsia" w:ascii="宋体" w:hAnsi="宋体" w:eastAsia="宋体" w:cs="宋体"/>
                <w:color w:val="auto"/>
                <w:kern w:val="0"/>
                <w:sz w:val="21"/>
                <w:szCs w:val="21"/>
                <w:highlight w:val="none"/>
                <w:lang w:val="zh-CN"/>
              </w:rPr>
            </w:pPr>
          </w:p>
        </w:tc>
        <w:tc>
          <w:tcPr>
            <w:tcW w:w="1612" w:type="dxa"/>
            <w:vMerge w:val="continue"/>
            <w:tcBorders>
              <w:tl2br w:val="nil"/>
              <w:tr2bl w:val="nil"/>
            </w:tcBorders>
            <w:vAlign w:val="top"/>
          </w:tcPr>
          <w:p w14:paraId="66E18A44">
            <w:pPr>
              <w:keepNext w:val="0"/>
              <w:keepLines w:val="0"/>
              <w:suppressLineNumbers w:val="0"/>
              <w:spacing w:before="0" w:beforeAutospacing="0" w:after="0" w:afterAutospacing="0" w:line="460" w:lineRule="atLeast"/>
              <w:ind w:left="0" w:right="0"/>
              <w:jc w:val="center"/>
              <w:rPr>
                <w:rFonts w:hint="eastAsia" w:ascii="宋体" w:hAnsi="宋体" w:eastAsia="宋体" w:cs="宋体"/>
                <w:color w:val="auto"/>
                <w:kern w:val="0"/>
                <w:sz w:val="21"/>
                <w:szCs w:val="21"/>
                <w:highlight w:val="none"/>
                <w:lang w:val="zh-CN"/>
              </w:rPr>
            </w:pPr>
          </w:p>
        </w:tc>
        <w:tc>
          <w:tcPr>
            <w:tcW w:w="6419" w:type="dxa"/>
            <w:tcBorders>
              <w:tl2br w:val="nil"/>
              <w:tr2bl w:val="nil"/>
            </w:tcBorders>
            <w:shd w:val="clear" w:color="auto" w:fill="auto"/>
            <w:vAlign w:val="center"/>
          </w:tcPr>
          <w:p w14:paraId="58BBA002">
            <w:pPr>
              <w:keepNext w:val="0"/>
              <w:keepLines w:val="0"/>
              <w:suppressLineNumbers w:val="0"/>
              <w:spacing w:before="0" w:beforeAutospacing="0" w:after="0" w:afterAutospacing="0" w:line="240" w:lineRule="auto"/>
              <w:ind w:left="0" w:leftChars="0" w:right="0" w:rightChars="0"/>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.4验收过程中，采购人</w:t>
            </w:r>
            <w:r>
              <w:rPr>
                <w:rFonts w:hint="eastAsia" w:ascii="宋体" w:hAnsi="宋体" w:eastAsia="宋体" w:cs="宋体"/>
                <w:color w:val="auto"/>
                <w:sz w:val="21"/>
                <w:szCs w:val="21"/>
                <w:highlight w:val="none"/>
                <w:lang w:eastAsia="zh-CN"/>
              </w:rPr>
              <w:t>可</w:t>
            </w:r>
            <w:r>
              <w:rPr>
                <w:rFonts w:hint="eastAsia" w:ascii="宋体" w:hAnsi="宋体" w:eastAsia="宋体" w:cs="宋体"/>
                <w:color w:val="auto"/>
                <w:sz w:val="21"/>
                <w:szCs w:val="21"/>
                <w:highlight w:val="none"/>
              </w:rPr>
              <w:t>随机抽样送</w:t>
            </w:r>
            <w:r>
              <w:rPr>
                <w:rFonts w:hint="eastAsia" w:ascii="宋体" w:hAnsi="宋体" w:eastAsia="宋体" w:cs="宋体"/>
                <w:color w:val="auto"/>
                <w:sz w:val="21"/>
                <w:szCs w:val="21"/>
                <w:highlight w:val="none"/>
                <w:lang w:eastAsia="zh-CN"/>
              </w:rPr>
              <w:t>采购人</w:t>
            </w:r>
            <w:r>
              <w:rPr>
                <w:rFonts w:hint="eastAsia" w:ascii="宋体" w:hAnsi="宋体" w:eastAsia="宋体" w:cs="宋体"/>
                <w:color w:val="auto"/>
                <w:sz w:val="21"/>
                <w:szCs w:val="21"/>
                <w:highlight w:val="none"/>
              </w:rPr>
              <w:t>指定的第三方检测机构进行检测，检测结果如与招标要求不一致的，采购人有权不予验收并要求供货单位整改，</w:t>
            </w:r>
            <w:r>
              <w:rPr>
                <w:rFonts w:hint="eastAsia" w:ascii="宋体" w:hAnsi="宋体" w:eastAsia="宋体" w:cs="宋体"/>
                <w:color w:val="auto"/>
                <w:sz w:val="21"/>
                <w:szCs w:val="21"/>
                <w:highlight w:val="none"/>
                <w:lang w:eastAsia="zh-CN"/>
              </w:rPr>
              <w:t>中标人</w:t>
            </w:r>
            <w:r>
              <w:rPr>
                <w:rFonts w:hint="eastAsia" w:ascii="宋体" w:hAnsi="宋体" w:eastAsia="宋体" w:cs="宋体"/>
                <w:color w:val="auto"/>
                <w:sz w:val="21"/>
                <w:szCs w:val="21"/>
                <w:highlight w:val="none"/>
              </w:rPr>
              <w:t>需将此项检测费用考虑进投标报价中。</w:t>
            </w:r>
          </w:p>
        </w:tc>
      </w:tr>
      <w:tr w14:paraId="791BC5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63" w:type="dxa"/>
            <w:vMerge w:val="continue"/>
            <w:tcBorders>
              <w:tl2br w:val="nil"/>
              <w:tr2bl w:val="nil"/>
            </w:tcBorders>
            <w:vAlign w:val="center"/>
          </w:tcPr>
          <w:p w14:paraId="7F785478">
            <w:pPr>
              <w:keepNext w:val="0"/>
              <w:keepLines w:val="0"/>
              <w:suppressLineNumbers w:val="0"/>
              <w:spacing w:before="0" w:beforeAutospacing="0" w:after="0" w:afterAutospacing="0" w:line="460" w:lineRule="atLeast"/>
              <w:ind w:left="0" w:right="0"/>
              <w:jc w:val="center"/>
              <w:rPr>
                <w:rFonts w:hint="eastAsia" w:ascii="宋体" w:hAnsi="宋体" w:eastAsia="宋体" w:cs="宋体"/>
                <w:color w:val="auto"/>
                <w:kern w:val="0"/>
                <w:sz w:val="21"/>
                <w:szCs w:val="21"/>
                <w:highlight w:val="none"/>
                <w:lang w:val="zh-CN"/>
              </w:rPr>
            </w:pPr>
          </w:p>
        </w:tc>
        <w:tc>
          <w:tcPr>
            <w:tcW w:w="1612" w:type="dxa"/>
            <w:vMerge w:val="continue"/>
            <w:tcBorders>
              <w:tl2br w:val="nil"/>
              <w:tr2bl w:val="nil"/>
            </w:tcBorders>
            <w:vAlign w:val="top"/>
          </w:tcPr>
          <w:p w14:paraId="301D706A">
            <w:pPr>
              <w:keepNext w:val="0"/>
              <w:keepLines w:val="0"/>
              <w:suppressLineNumbers w:val="0"/>
              <w:spacing w:before="0" w:beforeAutospacing="0" w:after="0" w:afterAutospacing="0" w:line="460" w:lineRule="atLeast"/>
              <w:ind w:left="0" w:right="0"/>
              <w:jc w:val="center"/>
              <w:rPr>
                <w:rFonts w:hint="eastAsia" w:ascii="宋体" w:hAnsi="宋体" w:eastAsia="宋体" w:cs="宋体"/>
                <w:color w:val="auto"/>
                <w:kern w:val="0"/>
                <w:sz w:val="21"/>
                <w:szCs w:val="21"/>
                <w:highlight w:val="none"/>
                <w:lang w:val="zh-CN"/>
              </w:rPr>
            </w:pPr>
          </w:p>
        </w:tc>
        <w:tc>
          <w:tcPr>
            <w:tcW w:w="6419" w:type="dxa"/>
            <w:tcBorders>
              <w:tl2br w:val="nil"/>
              <w:tr2bl w:val="nil"/>
            </w:tcBorders>
            <w:vAlign w:val="center"/>
          </w:tcPr>
          <w:p w14:paraId="4B8F6972">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kern w:val="0"/>
                <w:sz w:val="21"/>
                <w:szCs w:val="21"/>
                <w:highlight w:val="none"/>
                <w:lang w:val="zh-CN"/>
              </w:rPr>
            </w:pP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5要求中标人提供的布草均按采购人要求印制或刺绣医院LOGO等信息并不额外产生费用</w:t>
            </w:r>
            <w:r>
              <w:rPr>
                <w:rFonts w:hint="eastAsia" w:ascii="宋体" w:hAnsi="宋体" w:eastAsia="宋体" w:cs="宋体"/>
                <w:color w:val="auto"/>
                <w:sz w:val="21"/>
                <w:szCs w:val="21"/>
                <w:highlight w:val="none"/>
              </w:rPr>
              <w:t>。</w:t>
            </w:r>
          </w:p>
        </w:tc>
      </w:tr>
    </w:tbl>
    <w:p w14:paraId="374277E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script"/>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D71970"/>
    <w:rsid w:val="25187A85"/>
    <w:rsid w:val="62D71970"/>
    <w:rsid w:val="69AF2F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tabs>
        <w:tab w:val="left" w:pos="562"/>
        <w:tab w:val="left" w:pos="3372"/>
        <w:tab w:val="left" w:pos="3653"/>
      </w:tabs>
    </w:pPr>
    <w:rPr>
      <w:sz w:val="24"/>
    </w:rPr>
  </w:style>
  <w:style w:type="paragraph" w:styleId="3">
    <w:name w:val="Body Text 2"/>
    <w:basedOn w:val="1"/>
    <w:qFormat/>
    <w:uiPriority w:val="0"/>
    <w:pPr>
      <w:spacing w:line="360" w:lineRule="auto"/>
    </w:pPr>
    <w:rPr>
      <w:sz w:val="24"/>
    </w:rPr>
  </w:style>
  <w:style w:type="paragraph" w:styleId="4">
    <w:name w:val="Body Text First Indent"/>
    <w:basedOn w:val="2"/>
    <w:qFormat/>
    <w:uiPriority w:val="99"/>
    <w:pPr>
      <w:ind w:firstLine="420"/>
    </w:pPr>
    <w:rPr>
      <w:rFonts w:eastAsia="楷体_GB2312"/>
      <w:sz w:val="32"/>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2357</Words>
  <Characters>2433</Characters>
  <Lines>0</Lines>
  <Paragraphs>0</Paragraphs>
  <TotalTime>49</TotalTime>
  <ScaleCrop>false</ScaleCrop>
  <LinksUpToDate>false</LinksUpToDate>
  <CharactersWithSpaces>2451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2026-10-08T08:29:00Z</dcterms:created>
  <dc:creator>Edward</dc:creator>
  <cp:lastModifiedBy>李先森。。。。（李璟）</cp:lastModifiedBy>
  <dcterms:modified xsi:type="dcterms:W3CDTF">2026-10-08T10:00:52Z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89C6772B32134790B2526D84C530DD5C_11</vt:lpwstr>
  </property>
  <property fmtid="{D5CDD505-2E9C-101B-9397-08002B2CF9AE}" pid="4" name="KSOTemplateDocerSaveRecord">
    <vt:lpwstr>eyJoZGlkIjoiMWY4NTc0MzQ5YTUxMDk4OTJkZGUxOGU4NDc5ZmRkMzYiLCJ1c2VySWQiOiI0MDM5NzU1NTcifQ==</vt:lpwstr>
  </property>
</Properties>
</file>