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02B9F">
      <w:pPr>
        <w:spacing w:line="420" w:lineRule="atLeast"/>
        <w:jc w:val="center"/>
        <w:rPr>
          <w:rFonts w:ascii="Times New Roman" w:hAnsi="Times New Roman" w:eastAsia="宋体" w:cs="Times New Roman"/>
          <w:b/>
          <w:bCs/>
          <w:color w:val="000000"/>
          <w:sz w:val="36"/>
          <w:szCs w:val="36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sz w:val="36"/>
          <w:szCs w:val="36"/>
        </w:rPr>
        <w:t>病理科三名工程分子诊断全流程质控与信息管理系统采购项目</w:t>
      </w:r>
      <w:r>
        <w:rPr>
          <w:rFonts w:ascii="Times New Roman" w:hAnsi="Times New Roman" w:eastAsia="宋体" w:cs="Times New Roman"/>
          <w:b/>
          <w:bCs/>
          <w:color w:val="000000"/>
          <w:sz w:val="36"/>
          <w:szCs w:val="36"/>
        </w:rPr>
        <w:t>需求</w:t>
      </w:r>
    </w:p>
    <w:p w14:paraId="51F0FDEF">
      <w:pPr>
        <w:spacing w:before="120" w:after="120" w:line="420" w:lineRule="atLeast"/>
        <w:jc w:val="left"/>
        <w:rPr>
          <w:rFonts w:ascii="Times New Roman" w:hAnsi="Times New Roman" w:eastAsia="宋体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eastAsia="宋体" w:cs="Times New Roman"/>
          <w:b/>
          <w:bCs/>
          <w:color w:val="000000"/>
          <w:sz w:val="32"/>
          <w:szCs w:val="32"/>
        </w:rPr>
        <w:t>一、技术参数</w:t>
      </w:r>
    </w:p>
    <w:p w14:paraId="1A734641">
      <w:pPr>
        <w:spacing w:before="60" w:after="60" w:line="360" w:lineRule="atLeast"/>
        <w:rPr>
          <w:rFonts w:ascii="Times New Roman" w:hAnsi="Times New Roman" w:eastAsia="宋体" w:cs="Times New Roman"/>
          <w:b/>
          <w:bCs/>
          <w:color w:val="1F3864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color w:val="1F3864"/>
          <w:sz w:val="28"/>
          <w:szCs w:val="28"/>
        </w:rPr>
        <w:t>1. 系统总体要求</w:t>
      </w:r>
    </w:p>
    <w:p w14:paraId="63A2C529">
      <w:pPr>
        <w:spacing w:line="360" w:lineRule="atLeast"/>
        <w:ind w:left="425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ascii="Times New Roman" w:hAnsi="Times New Roman" w:eastAsia="宋体" w:cs="Times New Roman"/>
          <w:color w:val="1F2329"/>
          <w:sz w:val="24"/>
        </w:rPr>
        <w:t>1.1 建设分子诊断全流程质控与信息管理系统，实现样本制备、实验记录、报告回传、质控统计等全流程电子化管控，保障实验流程规范与数据可溯。</w:t>
      </w:r>
    </w:p>
    <w:p w14:paraId="6DE85D9F">
      <w:pPr>
        <w:spacing w:line="360" w:lineRule="atLeast"/>
        <w:ind w:left="425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ascii="Times New Roman" w:hAnsi="Times New Roman" w:eastAsia="宋体" w:cs="Times New Roman"/>
          <w:color w:val="1F2329"/>
          <w:sz w:val="24"/>
        </w:rPr>
        <w:t>1.2 系统由</w:t>
      </w:r>
      <w:r>
        <w:rPr>
          <w:rFonts w:ascii="Times New Roman" w:hAnsi="Times New Roman" w:eastAsia="宋体" w:cs="Times New Roman"/>
          <w:b/>
          <w:bCs/>
          <w:color w:val="1F2329"/>
          <w:sz w:val="24"/>
        </w:rPr>
        <w:t xml:space="preserve"> </w:t>
      </w:r>
      <w:r>
        <w:rPr>
          <w:rFonts w:ascii="Times New Roman" w:hAnsi="Times New Roman" w:eastAsia="宋体" w:cs="Times New Roman"/>
          <w:color w:val="1F2329"/>
          <w:sz w:val="24"/>
        </w:rPr>
        <w:t>12 个功能模块组成（分子平台管理、PAD 端管理、样本制备管理、实验记录综合管理、一代测序、FISH、qPCR、基因重排、二代测序、质控管理、数据统计分析、病理系统接口），采用 PC 端与 PAD 端协同的指引式操作模式，支持用户权限精细化管理与操作日志审计。</w:t>
      </w:r>
    </w:p>
    <w:p w14:paraId="3071DBB8">
      <w:pPr>
        <w:spacing w:line="360" w:lineRule="atLeast"/>
        <w:ind w:left="425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ascii="Times New Roman" w:hAnsi="Times New Roman" w:eastAsia="宋体" w:cs="Times New Roman"/>
          <w:color w:val="1F2329"/>
          <w:sz w:val="24"/>
        </w:rPr>
        <w:t>1.3 系统采用 B/S 架构，支持本地化部署，适配主流数据库；接口遵循 HL7 等行业标准，支持 WebService 等主流对接方式，可与院内病理信息系统稳定对接。</w:t>
      </w:r>
    </w:p>
    <w:p w14:paraId="5082268D">
      <w:pPr>
        <w:spacing w:before="60" w:after="60" w:line="360" w:lineRule="atLeast"/>
        <w:rPr>
          <w:rFonts w:ascii="Times New Roman" w:hAnsi="Times New Roman" w:eastAsia="宋体" w:cs="Times New Roman"/>
          <w:b/>
          <w:bCs/>
          <w:color w:val="1F3864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color w:val="1F3864"/>
          <w:sz w:val="28"/>
          <w:szCs w:val="28"/>
        </w:rPr>
        <w:t>2. 功能需求</w:t>
      </w:r>
      <w:r>
        <w:rPr>
          <w:rFonts w:hint="eastAsia" w:ascii="Times New Roman" w:hAnsi="Times New Roman" w:eastAsia="宋体" w:cs="Times New Roman"/>
          <w:b/>
          <w:bCs/>
          <w:color w:val="1F3864"/>
          <w:sz w:val="28"/>
          <w:szCs w:val="28"/>
        </w:rPr>
        <w:t>（共12个模块）</w:t>
      </w:r>
    </w:p>
    <w:p w14:paraId="6D3F6541">
      <w:pPr>
        <w:spacing w:line="360" w:lineRule="atLeast"/>
        <w:ind w:left="425"/>
        <w:rPr>
          <w:rFonts w:ascii="Times New Roman" w:hAnsi="Times New Roman" w:eastAsia="宋体" w:cs="Times New Roman"/>
          <w:b/>
          <w:bCs/>
          <w:color w:val="1F2329"/>
          <w:sz w:val="24"/>
        </w:rPr>
      </w:pPr>
      <w:r>
        <w:rPr>
          <w:rFonts w:ascii="Times New Roman" w:hAnsi="Times New Roman" w:eastAsia="宋体" w:cs="Times New Roman"/>
          <w:b/>
          <w:bCs/>
          <w:color w:val="1F2329"/>
          <w:sz w:val="24"/>
        </w:rPr>
        <w:t>2.1 分子平台管理</w:t>
      </w:r>
    </w:p>
    <w:p w14:paraId="7CDC1F85">
      <w:pPr>
        <w:spacing w:line="360" w:lineRule="atLeast"/>
        <w:ind w:left="425" w:firstLine="480" w:firstLineChars="200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hint="eastAsia" w:ascii="Times New Roman" w:hAnsi="Times New Roman" w:eastAsia="宋体" w:cs="Times New Roman"/>
          <w:color w:val="1F2329"/>
          <w:sz w:val="24"/>
        </w:rPr>
        <w:t>支持多种检测方法、检测项目、实验流程及版本自定义管理，可实现同一检测平台下不同项目配置差异化实验步骤；支持集成化权限体系管理，可按检测平台、实验步骤、样本制备步骤进行操作授权，支持多角色配置、菜单差异化展示；业务层面支持自定义样本制备及实验记录模板，模板可发布启用、留存历史版本，支持步骤复用、公共步骤配置；支持实验步骤关联多台实验设备并设置默认设备，可查看实验记录内设备使用痕迹；支持单/多试剂关联及默认试剂配置；具备完善运行监控，完整记录登录日志、操作日志（含操作动作、位置、IP），支持操作失败详情展示。</w:t>
      </w:r>
    </w:p>
    <w:p w14:paraId="06576EBF">
      <w:pPr>
        <w:spacing w:line="360" w:lineRule="atLeast"/>
        <w:ind w:left="425"/>
        <w:rPr>
          <w:rFonts w:ascii="Times New Roman" w:hAnsi="Times New Roman" w:eastAsia="宋体" w:cs="Times New Roman"/>
          <w:b/>
          <w:bCs/>
          <w:color w:val="1F2329"/>
          <w:sz w:val="24"/>
        </w:rPr>
      </w:pPr>
      <w:r>
        <w:rPr>
          <w:rFonts w:ascii="Times New Roman" w:hAnsi="Times New Roman" w:eastAsia="宋体" w:cs="Times New Roman"/>
          <w:b/>
          <w:bCs/>
          <w:color w:val="1F2329"/>
          <w:sz w:val="24"/>
        </w:rPr>
        <w:t>2.2 PAD 端管理</w:t>
      </w:r>
    </w:p>
    <w:p w14:paraId="3C22A94C">
      <w:pPr>
        <w:spacing w:line="360" w:lineRule="atLeast"/>
        <w:ind w:left="425" w:firstLine="480" w:firstLineChars="200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hint="eastAsia" w:ascii="Times New Roman" w:hAnsi="Times New Roman" w:eastAsia="宋体" w:cs="Times New Roman"/>
          <w:color w:val="1F2329"/>
          <w:sz w:val="24"/>
        </w:rPr>
        <w:t>支持 PAD 端完成样本制备、实验流程全流程数据录入管理，PAD 与 PC 端数据实时同步；支持不同检测平台版本号独立管理；覆盖 HE 质控、核酸质控等多类质控，完整记录质控人、质控时间、质控结果，支持质控记录查询；支持跳过步骤、重复步骤、重复实验、终止实验等特殊流程，特殊步骤页面醒目标识；支持扫码或预设选项完成设备、试剂与实验流程关联，选择试剂时可展示试剂批号及性能验证信息；记录每步操作人、操作时间、所用设备试剂，支持单条及批量数据核对；具备精细化实验记录修改权限；可表格汇总展示前置步骤实验数据；支持组长确认完成实验；阴阳控随实验步骤全程流转。</w:t>
      </w:r>
    </w:p>
    <w:p w14:paraId="43101D6C">
      <w:pPr>
        <w:spacing w:line="360" w:lineRule="atLeast"/>
        <w:ind w:left="479" w:leftChars="228"/>
        <w:rPr>
          <w:rFonts w:ascii="Times New Roman" w:hAnsi="Times New Roman" w:eastAsia="宋体" w:cs="Times New Roman"/>
          <w:b/>
          <w:bCs/>
          <w:color w:val="1F2329"/>
          <w:sz w:val="24"/>
        </w:rPr>
      </w:pPr>
      <w:r>
        <w:rPr>
          <w:rFonts w:ascii="Times New Roman" w:hAnsi="Times New Roman" w:eastAsia="宋体" w:cs="Times New Roman"/>
          <w:b/>
          <w:bCs/>
          <w:color w:val="1F2329"/>
          <w:sz w:val="24"/>
        </w:rPr>
        <w:t>2.3 样本制备管理</w:t>
      </w:r>
    </w:p>
    <w:p w14:paraId="373F4FBC">
      <w:pPr>
        <w:spacing w:line="360" w:lineRule="atLeast"/>
        <w:ind w:left="425" w:firstLine="480" w:firstLineChars="200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hint="eastAsia" w:ascii="Times New Roman" w:hAnsi="Times New Roman" w:eastAsia="宋体" w:cs="Times New Roman"/>
          <w:color w:val="1F2329"/>
          <w:sz w:val="24"/>
        </w:rPr>
        <w:t>支持多项目共用核酸管理，依据检测方法自动生成核酸提取、血液提取待处理工作表，适配一代测序、NGS、PCR 等多平台样本处理；支持检测项目分配管理；支持跳过、重复、终止、保存下一步等流程操作；支持多分子项目号共用核酸的数据录入；完整留存样本制备全步骤、操作人、操作时间记录，支持实验特殊情况拍照留痕，可查询核酸、血液提取及样本制备历史记录。</w:t>
      </w:r>
    </w:p>
    <w:p w14:paraId="7ACA301A">
      <w:pPr>
        <w:spacing w:line="360" w:lineRule="atLeast"/>
        <w:ind w:left="425"/>
        <w:rPr>
          <w:rFonts w:ascii="Times New Roman" w:hAnsi="Times New Roman" w:eastAsia="宋体" w:cs="Times New Roman"/>
          <w:b/>
          <w:bCs/>
          <w:color w:val="1F2329"/>
          <w:sz w:val="24"/>
        </w:rPr>
      </w:pPr>
      <w:r>
        <w:rPr>
          <w:rFonts w:ascii="Times New Roman" w:hAnsi="Times New Roman" w:eastAsia="宋体" w:cs="Times New Roman"/>
          <w:b/>
          <w:bCs/>
          <w:color w:val="1F2329"/>
          <w:sz w:val="24"/>
        </w:rPr>
        <w:t>2.4 实验记录综合管理</w:t>
      </w:r>
    </w:p>
    <w:p w14:paraId="1C378707">
      <w:pPr>
        <w:spacing w:line="360" w:lineRule="atLeast"/>
        <w:ind w:left="425" w:firstLine="480" w:firstLineChars="200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hint="eastAsia" w:ascii="Times New Roman" w:hAnsi="Times New Roman" w:eastAsia="宋体" w:cs="Times New Roman"/>
          <w:color w:val="1F2329"/>
          <w:sz w:val="24"/>
        </w:rPr>
        <w:t>可视化展示分子诊断项目号，便捷生成、管理实验批次号；支持查询待生成批次病例，可将病例加入已有批次；可处理批次生成错误、项目重复入批、蜡块号更换等业务场景；实验员可自主生成管理批次，批次号支持按年月日自定义；支持按检测项目打印分子登记本、批次过程记录表、分片表，支持打印二代测序复杂批次操作指引 SOP；支持实验记录复核，复核后记录不可修改；可快速筛选跳过、重复、终止类特殊实验记录，复核过程可查阅批次阴阳控记录；支持实验记录补录，留存原值、补录值、补录人及时间；未复核实验记录允许本人修改；支持多条件查询、结果导出。</w:t>
      </w:r>
    </w:p>
    <w:p w14:paraId="477C5005">
      <w:pPr>
        <w:spacing w:line="360" w:lineRule="atLeast"/>
        <w:ind w:left="425"/>
        <w:rPr>
          <w:rFonts w:ascii="Times New Roman" w:hAnsi="Times New Roman" w:eastAsia="宋体" w:cs="Times New Roman"/>
          <w:b/>
          <w:bCs/>
          <w:color w:val="1F2329"/>
          <w:sz w:val="24"/>
        </w:rPr>
      </w:pPr>
      <w:r>
        <w:rPr>
          <w:rFonts w:ascii="Times New Roman" w:hAnsi="Times New Roman" w:eastAsia="宋体" w:cs="Times New Roman"/>
          <w:b/>
          <w:bCs/>
          <w:color w:val="1F2329"/>
          <w:sz w:val="24"/>
        </w:rPr>
        <w:t>2.5 一代测序</w:t>
      </w:r>
    </w:p>
    <w:p w14:paraId="3E51428E">
      <w:pPr>
        <w:spacing w:line="360" w:lineRule="atLeast"/>
        <w:ind w:left="425" w:firstLine="480" w:firstLineChars="200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hint="eastAsia" w:ascii="Times New Roman" w:hAnsi="Times New Roman" w:eastAsia="宋体" w:cs="Times New Roman"/>
          <w:color w:val="1F2329"/>
          <w:sz w:val="24"/>
        </w:rPr>
        <w:t>可视化展示一代测序各实验节点；支持多版本实验流程自定义，展示各环节待完成病例；完整记录样本制备流程；可自定义展示已授权实验步骤；支持快速选取本批次未完成分子项目号录入实验数据；每步支持单条、批量核对；支持多批次同时查看，表格汇总前置步骤数据，表单格式可自定义；支持跳过、重复、终止等异常流程并记录异常原因；管理阳、阴、空白三类对照；支持 3 套一代测序平台流程定制；支持专业组负责人确认完成实验。</w:t>
      </w:r>
    </w:p>
    <w:p w14:paraId="013591DD">
      <w:pPr>
        <w:spacing w:line="360" w:lineRule="atLeast"/>
        <w:ind w:left="425"/>
        <w:rPr>
          <w:rFonts w:ascii="Times New Roman" w:hAnsi="Times New Roman" w:eastAsia="宋体" w:cs="Times New Roman"/>
          <w:b/>
          <w:bCs/>
          <w:color w:val="1F2329"/>
          <w:sz w:val="24"/>
        </w:rPr>
      </w:pPr>
      <w:r>
        <w:rPr>
          <w:rFonts w:ascii="Times New Roman" w:hAnsi="Times New Roman" w:eastAsia="宋体" w:cs="Times New Roman"/>
          <w:b/>
          <w:bCs/>
          <w:color w:val="1F2329"/>
          <w:sz w:val="24"/>
        </w:rPr>
        <w:t>2.6 FISH</w:t>
      </w:r>
    </w:p>
    <w:p w14:paraId="4938C360">
      <w:pPr>
        <w:spacing w:line="360" w:lineRule="atLeast"/>
        <w:ind w:left="425" w:firstLine="480" w:firstLineChars="200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hint="eastAsia" w:ascii="Times New Roman" w:hAnsi="Times New Roman" w:eastAsia="宋体" w:cs="Times New Roman"/>
          <w:color w:val="1F2329"/>
          <w:sz w:val="24"/>
        </w:rPr>
        <w:t>可视化展示 FISH 平台实验节点；支持石蜡 FISH、尿液 FISH 独立实验方法配置；流程可自定义，展示各环节待完成病例；支持样本制备流程录入查阅；自定义展示授权实验步骤；快速选取批次内未完成项目录入数据；记录每步操作人、操作时间，支持单条 / 批量核对；多批次数据查看，表格汇总前置步骤数据，表单格式可自定义；支持流程重复、跳过、终止及阴阳控管理；支持 3 套 FISH 检测平台流程定制；支持专业组负责人确认完成实验。</w:t>
      </w:r>
    </w:p>
    <w:p w14:paraId="622EDB08">
      <w:pPr>
        <w:spacing w:line="360" w:lineRule="atLeast"/>
        <w:ind w:left="425"/>
        <w:rPr>
          <w:rFonts w:ascii="Times New Roman" w:hAnsi="Times New Roman" w:eastAsia="宋体" w:cs="Times New Roman"/>
          <w:b/>
          <w:bCs/>
          <w:color w:val="1F2329"/>
          <w:sz w:val="24"/>
        </w:rPr>
      </w:pPr>
      <w:r>
        <w:rPr>
          <w:rFonts w:ascii="Times New Roman" w:hAnsi="Times New Roman" w:eastAsia="宋体" w:cs="Times New Roman"/>
          <w:b/>
          <w:bCs/>
          <w:color w:val="1F2329"/>
          <w:sz w:val="24"/>
        </w:rPr>
        <w:t>2.7 qPCR</w:t>
      </w:r>
    </w:p>
    <w:p w14:paraId="618885F7">
      <w:pPr>
        <w:spacing w:line="360" w:lineRule="atLeast"/>
        <w:ind w:left="425" w:firstLine="480" w:firstLineChars="200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hint="eastAsia" w:ascii="Times New Roman" w:hAnsi="Times New Roman" w:eastAsia="宋体" w:cs="Times New Roman"/>
          <w:color w:val="1F2329"/>
          <w:sz w:val="24"/>
        </w:rPr>
        <w:t>可视化展示 qPCR 实验节点；支持项目间交互验证；支持样本制备流程录入查阅；自定义展示授权实验步骤；快速选取批次未完成项目录入数据；每步记录操作人、操作时间，单条 / 批量核对；多批次查看，表格汇总前置步骤数据，表单格式自定义；支持跳过、重复、终止异常流程及阴阳控管理；支持 3 套 qPCR 平台流程定制；支持专业组负责人确认完成实验。</w:t>
      </w:r>
    </w:p>
    <w:p w14:paraId="7EE2D87E">
      <w:pPr>
        <w:spacing w:line="360" w:lineRule="atLeast"/>
        <w:ind w:firstLine="482" w:firstLineChars="200"/>
        <w:rPr>
          <w:rFonts w:ascii="Times New Roman" w:hAnsi="Times New Roman" w:eastAsia="宋体" w:cs="Times New Roman"/>
          <w:b/>
          <w:bCs/>
          <w:color w:val="1F2329"/>
          <w:sz w:val="24"/>
        </w:rPr>
      </w:pPr>
      <w:r>
        <w:rPr>
          <w:rFonts w:ascii="Times New Roman" w:hAnsi="Times New Roman" w:eastAsia="宋体" w:cs="Times New Roman"/>
          <w:b/>
          <w:bCs/>
          <w:color w:val="1F2329"/>
          <w:sz w:val="24"/>
        </w:rPr>
        <w:t>2.8 基因重排</w:t>
      </w:r>
    </w:p>
    <w:p w14:paraId="1E2906A0">
      <w:pPr>
        <w:spacing w:line="360" w:lineRule="atLeast"/>
        <w:ind w:left="425" w:firstLine="480" w:firstLineChars="200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hint="eastAsia" w:ascii="Times New Roman" w:hAnsi="Times New Roman" w:eastAsia="宋体" w:cs="Times New Roman"/>
          <w:color w:val="1F2329"/>
          <w:sz w:val="24"/>
        </w:rPr>
        <w:t>可视化展示基因重排实验节点；内置电子样本加样板，支持拖拽录入样本号，留存全部加样电子记录，加样位置自动回写至实验步骤对应字段；支持样本制备流程录入查阅；自定义展示授权实验步骤；快速选取批次未完成项目录入数据；记录每步操作人、操作时间，支持单条 / 批量核对；多批次查看，表格汇总前置步骤数据，表单格式自定义；支持跳过、重复、终止异常流程及阴阳控管理；支持专业组负责人确认完成实验。</w:t>
      </w:r>
    </w:p>
    <w:p w14:paraId="0EEDD938">
      <w:pPr>
        <w:spacing w:line="360" w:lineRule="atLeast"/>
        <w:ind w:left="425"/>
        <w:rPr>
          <w:rFonts w:ascii="Times New Roman" w:hAnsi="Times New Roman" w:eastAsia="宋体" w:cs="Times New Roman"/>
          <w:b/>
          <w:bCs/>
          <w:color w:val="1F2329"/>
          <w:sz w:val="24"/>
        </w:rPr>
      </w:pPr>
      <w:r>
        <w:rPr>
          <w:rFonts w:ascii="Times New Roman" w:hAnsi="Times New Roman" w:eastAsia="宋体" w:cs="Times New Roman"/>
          <w:color w:val="1F2329"/>
          <w:sz w:val="24"/>
        </w:rPr>
        <w:t xml:space="preserve">2.9 </w:t>
      </w:r>
      <w:r>
        <w:rPr>
          <w:rFonts w:ascii="Times New Roman" w:hAnsi="Times New Roman" w:eastAsia="宋体" w:cs="Times New Roman"/>
          <w:b/>
          <w:bCs/>
          <w:color w:val="1F2329"/>
          <w:sz w:val="24"/>
        </w:rPr>
        <w:t>二代测序</w:t>
      </w:r>
    </w:p>
    <w:p w14:paraId="0D46F58E">
      <w:pPr>
        <w:spacing w:line="360" w:lineRule="atLeast"/>
        <w:ind w:left="425" w:firstLine="480" w:firstLineChars="200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hint="eastAsia" w:ascii="Times New Roman" w:hAnsi="Times New Roman" w:eastAsia="宋体" w:cs="Times New Roman"/>
          <w:color w:val="1F2329"/>
          <w:sz w:val="24"/>
        </w:rPr>
        <w:t>可视化展示 NGS 全实验节点；可自定义展示已授权的实验流程步骤；可依据核酸质量区分手工、仪器不同实验步骤；根据批次项目数量结合内置公式自动计算实验加样值；电子样本加样板支持拖拽录入样本号，完整留存多次加样记录，index 信息自动回写至实验步骤指定字段；快速选取批次未完成项目录入数据；记录每步操作人、操作时间，支持单条 / 批量核对；多批次查看，表格汇总前置步骤数据，表单格式自定义；支持跳过、重复、终止异常流程及阴阳控管理；支持 4 套二代测序平台流程定制；支持专业组负责人确认完成实验。</w:t>
      </w:r>
    </w:p>
    <w:p w14:paraId="5FB2B710">
      <w:pPr>
        <w:spacing w:line="360" w:lineRule="atLeast"/>
        <w:ind w:left="479" w:leftChars="228"/>
        <w:rPr>
          <w:rFonts w:ascii="Times New Roman" w:hAnsi="Times New Roman" w:eastAsia="宋体" w:cs="Times New Roman"/>
          <w:b/>
          <w:bCs/>
          <w:color w:val="1F2329"/>
          <w:sz w:val="24"/>
        </w:rPr>
      </w:pPr>
      <w:r>
        <w:rPr>
          <w:rFonts w:ascii="Times New Roman" w:hAnsi="Times New Roman" w:eastAsia="宋体" w:cs="Times New Roman"/>
          <w:b/>
          <w:bCs/>
          <w:color w:val="1F2329"/>
          <w:sz w:val="24"/>
        </w:rPr>
        <w:t>2.10 质控管理</w:t>
      </w:r>
    </w:p>
    <w:p w14:paraId="204B8B7A">
      <w:pPr>
        <w:spacing w:line="360" w:lineRule="atLeast"/>
        <w:ind w:left="479" w:leftChars="228" w:firstLine="480" w:firstLineChars="200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hint="eastAsia" w:ascii="Times New Roman" w:hAnsi="Times New Roman" w:eastAsia="宋体" w:cs="Times New Roman"/>
          <w:color w:val="1F2329"/>
          <w:sz w:val="24"/>
        </w:rPr>
        <w:t>支持质控步骤醒目标识，可自定义配置质控点；统一管理 HE 质控、核酸质控、阴阳质控、杂交质控；HE 质控可一键跳转未质控病例；记录质控结果、质控人、质控时间；可针对实验异常数据发起质控，支持下钻查阅异常明细；支持实验记录质控复核；实现质控新增、复核、持续改进闭环管理；可自主或者从统计报表发起质控；支持环境、房间、过程类质控，可上传附件；质控表单必填项可自定义；支持质控复核并触发持续改进；持续改进覆盖发起、原因分析、改进措施、执行情况、结果验证完整闭环，以流程图展示改进进度，留存全量操作痕迹；支持多条件查询质控及持续改进项目；质控记录关联重复实验、报告及时率等统计报表；质控、持续改进具备独立权限管控。</w:t>
      </w:r>
    </w:p>
    <w:p w14:paraId="64729EB7">
      <w:pPr>
        <w:spacing w:line="360" w:lineRule="atLeast"/>
        <w:ind w:left="425"/>
        <w:rPr>
          <w:rFonts w:ascii="Times New Roman" w:hAnsi="Times New Roman" w:eastAsia="宋体" w:cs="Times New Roman"/>
          <w:b/>
          <w:bCs/>
          <w:color w:val="1F2329"/>
          <w:sz w:val="24"/>
        </w:rPr>
      </w:pPr>
      <w:r>
        <w:rPr>
          <w:rFonts w:ascii="Times New Roman" w:hAnsi="Times New Roman" w:eastAsia="宋体" w:cs="Times New Roman"/>
          <w:b/>
          <w:bCs/>
          <w:color w:val="1F2329"/>
          <w:sz w:val="24"/>
        </w:rPr>
        <w:t>2.11 数据统计分析</w:t>
      </w:r>
    </w:p>
    <w:p w14:paraId="643B5BF9">
      <w:pPr>
        <w:spacing w:line="360" w:lineRule="atLeast"/>
        <w:ind w:left="425" w:firstLine="480" w:firstLineChars="200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hint="eastAsia" w:ascii="Times New Roman" w:hAnsi="Times New Roman" w:eastAsia="宋体" w:cs="Times New Roman"/>
          <w:color w:val="1F2329"/>
          <w:sz w:val="24"/>
        </w:rPr>
        <w:t>支持多条件查询工作量统计，按检测方法 / 项目分类展示，支持预览、导出，统计结果可保存为质控数据；统计重复实验数量及明细，分类展示、预览导出，结果可保存为质控数据；统计报告及时率、超期报告列表，分类展示、预览导出，结果可保存为质控数据；按时间段、检测方法统计阴阳控批次合格数量、自动计算合格率，支持查询不合格批次明细及原因；阴阳控统计报表可保存为质控数据。</w:t>
      </w:r>
    </w:p>
    <w:p w14:paraId="560330A6">
      <w:pPr>
        <w:spacing w:line="360" w:lineRule="atLeast"/>
        <w:ind w:left="425"/>
        <w:rPr>
          <w:rFonts w:ascii="Times New Roman" w:hAnsi="Times New Roman" w:eastAsia="宋体" w:cs="Times New Roman"/>
          <w:b/>
          <w:bCs/>
          <w:color w:val="1F2329"/>
          <w:sz w:val="24"/>
        </w:rPr>
      </w:pPr>
      <w:r>
        <w:rPr>
          <w:rFonts w:ascii="Times New Roman" w:hAnsi="Times New Roman" w:eastAsia="宋体" w:cs="Times New Roman"/>
          <w:b/>
          <w:bCs/>
          <w:color w:val="1F2329"/>
          <w:sz w:val="24"/>
        </w:rPr>
        <w:t>2.12 病理系统接口</w:t>
      </w:r>
    </w:p>
    <w:p w14:paraId="136E5E15">
      <w:pPr>
        <w:spacing w:line="360" w:lineRule="atLeast"/>
        <w:ind w:left="425" w:firstLine="480" w:firstLineChars="200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ascii="Times New Roman" w:hAnsi="Times New Roman" w:eastAsia="宋体" w:cs="Times New Roman"/>
          <w:color w:val="1F2329"/>
          <w:sz w:val="24"/>
        </w:rPr>
        <w:t>支持从院内病理信息系统提取患者原病理号、检测方法、检测项目等信息，实验完成后将审核报告以 PDF 形式回传病理系统。</w:t>
      </w:r>
    </w:p>
    <w:p w14:paraId="560CA71C">
      <w:pPr>
        <w:spacing w:before="120" w:after="120" w:line="420" w:lineRule="atLeast"/>
        <w:jc w:val="left"/>
        <w:rPr>
          <w:rFonts w:ascii="Times New Roman" w:hAnsi="Times New Roman" w:eastAsia="宋体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eastAsia="宋体" w:cs="Times New Roman"/>
          <w:b/>
          <w:bCs/>
          <w:color w:val="000000"/>
          <w:sz w:val="32"/>
          <w:szCs w:val="32"/>
        </w:rPr>
        <w:t>二、商务需求</w:t>
      </w:r>
    </w:p>
    <w:p w14:paraId="4AA9B073">
      <w:pPr>
        <w:spacing w:before="60" w:after="60" w:line="360" w:lineRule="atLeast"/>
        <w:rPr>
          <w:rFonts w:ascii="Times New Roman" w:hAnsi="Times New Roman" w:eastAsia="宋体" w:cs="Times New Roman"/>
          <w:b/>
          <w:bCs/>
          <w:color w:val="1F3864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color w:val="1F3864"/>
          <w:sz w:val="28"/>
          <w:szCs w:val="28"/>
          <w:lang w:val="en-US" w:eastAsia="zh-CN"/>
        </w:rPr>
        <w:t>1</w:t>
      </w:r>
      <w:r>
        <w:rPr>
          <w:rFonts w:ascii="Times New Roman" w:hAnsi="Times New Roman" w:eastAsia="宋体" w:cs="Times New Roman"/>
          <w:b/>
          <w:bCs/>
          <w:color w:val="1F3864"/>
          <w:sz w:val="28"/>
          <w:szCs w:val="28"/>
        </w:rPr>
        <w:t>. 供应商及资质</w:t>
      </w:r>
    </w:p>
    <w:p w14:paraId="5D249E06">
      <w:pPr>
        <w:spacing w:line="360" w:lineRule="atLeast"/>
        <w:ind w:left="425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hint="eastAsia" w:ascii="Times New Roman" w:hAnsi="Times New Roman" w:eastAsia="宋体" w:cs="Times New Roman"/>
          <w:color w:val="1F2329"/>
          <w:sz w:val="24"/>
          <w:lang w:val="en-US" w:eastAsia="zh-CN"/>
        </w:rPr>
        <w:t>1</w:t>
      </w:r>
      <w:r>
        <w:rPr>
          <w:rFonts w:ascii="Times New Roman" w:hAnsi="Times New Roman" w:eastAsia="宋体" w:cs="Times New Roman"/>
          <w:color w:val="1F2329"/>
          <w:sz w:val="24"/>
        </w:rPr>
        <w:t>.1 供应商须为所投软件产品原厂商或原厂商授权的合法代理商，并提供相应授权证明。</w:t>
      </w:r>
    </w:p>
    <w:p w14:paraId="7E2E0322">
      <w:pPr>
        <w:spacing w:line="360" w:lineRule="atLeast"/>
        <w:ind w:left="425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hint="eastAsia" w:ascii="Times New Roman" w:hAnsi="Times New Roman" w:eastAsia="宋体" w:cs="Times New Roman"/>
          <w:color w:val="1F2329"/>
          <w:sz w:val="24"/>
          <w:lang w:val="en-US" w:eastAsia="zh-CN"/>
        </w:rPr>
        <w:t>1</w:t>
      </w:r>
      <w:r>
        <w:rPr>
          <w:rFonts w:ascii="Times New Roman" w:hAnsi="Times New Roman" w:eastAsia="宋体" w:cs="Times New Roman"/>
          <w:color w:val="1F2329"/>
          <w:sz w:val="24"/>
        </w:rPr>
        <w:t>.2 所投产品须为正版软件</w:t>
      </w:r>
      <w:bookmarkStart w:id="0" w:name="_GoBack"/>
      <w:bookmarkEnd w:id="0"/>
      <w:r>
        <w:rPr>
          <w:rFonts w:ascii="Times New Roman" w:hAnsi="Times New Roman" w:eastAsia="宋体" w:cs="Times New Roman"/>
          <w:color w:val="1F2329"/>
          <w:sz w:val="24"/>
        </w:rPr>
        <w:t>，提供软件著作权登记证明等合法资质文件。</w:t>
      </w:r>
    </w:p>
    <w:p w14:paraId="3905A5FD">
      <w:pPr>
        <w:spacing w:before="60" w:after="60" w:line="360" w:lineRule="atLeast"/>
        <w:rPr>
          <w:rFonts w:ascii="Times New Roman" w:hAnsi="Times New Roman" w:eastAsia="宋体" w:cs="Times New Roman"/>
          <w:b/>
          <w:bCs/>
          <w:color w:val="1F3864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color w:val="1F3864"/>
          <w:sz w:val="28"/>
          <w:szCs w:val="28"/>
          <w:lang w:val="en-US" w:eastAsia="zh-CN"/>
        </w:rPr>
        <w:t>2</w:t>
      </w:r>
      <w:r>
        <w:rPr>
          <w:rFonts w:ascii="Times New Roman" w:hAnsi="Times New Roman" w:eastAsia="宋体" w:cs="Times New Roman"/>
          <w:b/>
          <w:bCs/>
          <w:color w:val="1F3864"/>
          <w:sz w:val="28"/>
          <w:szCs w:val="28"/>
        </w:rPr>
        <w:t>. 交付与验收</w:t>
      </w:r>
    </w:p>
    <w:p w14:paraId="3902C6AB">
      <w:pPr>
        <w:spacing w:line="360" w:lineRule="atLeast"/>
        <w:ind w:left="425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hint="eastAsia" w:ascii="Times New Roman" w:hAnsi="Times New Roman" w:eastAsia="宋体" w:cs="Times New Roman"/>
          <w:color w:val="1F2329"/>
          <w:sz w:val="24"/>
          <w:lang w:val="en-US" w:eastAsia="zh-CN"/>
        </w:rPr>
        <w:t>2</w:t>
      </w:r>
      <w:r>
        <w:rPr>
          <w:rFonts w:ascii="Times New Roman" w:hAnsi="Times New Roman" w:eastAsia="宋体" w:cs="Times New Roman"/>
          <w:color w:val="1F2329"/>
          <w:sz w:val="24"/>
        </w:rPr>
        <w:t>.1 交付内容：系统全套软件（</w:t>
      </w:r>
      <w:r>
        <w:rPr>
          <w:rFonts w:ascii="Times New Roman" w:hAnsi="Times New Roman" w:eastAsia="宋体" w:cs="Times New Roman"/>
          <w:b/>
          <w:bCs/>
          <w:color w:val="1F2329"/>
          <w:sz w:val="24"/>
        </w:rPr>
        <w:t>含 12 个功能模块</w:t>
      </w:r>
      <w:r>
        <w:rPr>
          <w:rFonts w:ascii="Times New Roman" w:hAnsi="Times New Roman" w:eastAsia="宋体" w:cs="Times New Roman"/>
          <w:color w:val="1F2329"/>
          <w:sz w:val="24"/>
        </w:rPr>
        <w:t>）、授权文件、操作手册及培训资料。</w:t>
      </w:r>
    </w:p>
    <w:p w14:paraId="120F865E">
      <w:pPr>
        <w:spacing w:line="360" w:lineRule="atLeast"/>
        <w:ind w:left="425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hint="eastAsia" w:ascii="Times New Roman" w:hAnsi="Times New Roman" w:eastAsia="宋体" w:cs="Times New Roman"/>
          <w:color w:val="1F2329"/>
          <w:sz w:val="24"/>
          <w:lang w:val="en-US" w:eastAsia="zh-CN"/>
        </w:rPr>
        <w:t>2</w:t>
      </w:r>
      <w:r>
        <w:rPr>
          <w:rFonts w:ascii="Times New Roman" w:hAnsi="Times New Roman" w:eastAsia="宋体" w:cs="Times New Roman"/>
          <w:color w:val="1F2329"/>
          <w:sz w:val="24"/>
        </w:rPr>
        <w:t>.2 交付时间：合同签订后 15 个工作日内完成安装配置、接口联调与上线。</w:t>
      </w:r>
    </w:p>
    <w:p w14:paraId="174C1739">
      <w:pPr>
        <w:spacing w:line="360" w:lineRule="atLeast"/>
        <w:ind w:left="425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hint="eastAsia" w:ascii="Times New Roman" w:hAnsi="Times New Roman" w:eastAsia="宋体" w:cs="Times New Roman"/>
          <w:color w:val="1F2329"/>
          <w:sz w:val="24"/>
          <w:lang w:val="en-US" w:eastAsia="zh-CN"/>
        </w:rPr>
        <w:t>2</w:t>
      </w:r>
      <w:r>
        <w:rPr>
          <w:rFonts w:ascii="Times New Roman" w:hAnsi="Times New Roman" w:eastAsia="宋体" w:cs="Times New Roman"/>
          <w:color w:val="1F2329"/>
          <w:sz w:val="24"/>
        </w:rPr>
        <w:t>.3 验收标准：各模块功能正常，与院内病理信息系统对接稳定，数据统计准确，用户可正常操作使用。</w:t>
      </w:r>
    </w:p>
    <w:p w14:paraId="704916D7">
      <w:pPr>
        <w:spacing w:before="60" w:after="60" w:line="360" w:lineRule="atLeast"/>
        <w:rPr>
          <w:rFonts w:ascii="Times New Roman" w:hAnsi="Times New Roman" w:eastAsia="宋体" w:cs="Times New Roman"/>
          <w:b/>
          <w:bCs/>
          <w:color w:val="1F3864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color w:val="1F3864"/>
          <w:sz w:val="28"/>
          <w:szCs w:val="28"/>
          <w:lang w:val="en-US" w:eastAsia="zh-CN"/>
        </w:rPr>
        <w:t>3</w:t>
      </w:r>
      <w:r>
        <w:rPr>
          <w:rFonts w:ascii="Times New Roman" w:hAnsi="Times New Roman" w:eastAsia="宋体" w:cs="Times New Roman"/>
          <w:b/>
          <w:bCs/>
          <w:color w:val="1F3864"/>
          <w:sz w:val="28"/>
          <w:szCs w:val="28"/>
        </w:rPr>
        <w:t>. 售后服务</w:t>
      </w:r>
    </w:p>
    <w:p w14:paraId="7118CC14">
      <w:pPr>
        <w:spacing w:line="360" w:lineRule="atLeast"/>
        <w:ind w:left="425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hint="eastAsia" w:ascii="Times New Roman" w:hAnsi="Times New Roman" w:eastAsia="宋体" w:cs="Times New Roman"/>
          <w:color w:val="1F2329"/>
          <w:sz w:val="24"/>
          <w:lang w:val="en-US" w:eastAsia="zh-CN"/>
        </w:rPr>
        <w:t>3</w:t>
      </w:r>
      <w:r>
        <w:rPr>
          <w:rFonts w:ascii="Times New Roman" w:hAnsi="Times New Roman" w:eastAsia="宋体" w:cs="Times New Roman"/>
          <w:color w:val="1F2329"/>
          <w:sz w:val="24"/>
        </w:rPr>
        <w:t>.1 自验收合格之日起提供 3 年软件免费质保，含功能维护、故障排查、接口异常处理及软件版本升级。</w:t>
      </w:r>
    </w:p>
    <w:p w14:paraId="1B8F8FD7">
      <w:pPr>
        <w:spacing w:line="360" w:lineRule="atLeast"/>
        <w:ind w:left="425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hint="eastAsia" w:ascii="Times New Roman" w:hAnsi="Times New Roman" w:eastAsia="宋体" w:cs="Times New Roman"/>
          <w:color w:val="1F2329"/>
          <w:sz w:val="24"/>
          <w:lang w:val="en-US" w:eastAsia="zh-CN"/>
        </w:rPr>
        <w:t>3</w:t>
      </w:r>
      <w:r>
        <w:rPr>
          <w:rFonts w:ascii="Times New Roman" w:hAnsi="Times New Roman" w:eastAsia="宋体" w:cs="Times New Roman"/>
          <w:color w:val="1F2329"/>
          <w:sz w:val="24"/>
        </w:rPr>
        <w:t>.2 报修后 2 小时内响应、24 小时内解决；系统瘫痪等紧急故障 1 小时内响应、4 小时内处置完毕。</w:t>
      </w:r>
    </w:p>
    <w:p w14:paraId="3D147C4E">
      <w:pPr>
        <w:spacing w:before="60" w:after="60" w:line="360" w:lineRule="atLeast"/>
        <w:rPr>
          <w:rFonts w:ascii="Times New Roman" w:hAnsi="Times New Roman" w:eastAsia="宋体" w:cs="Times New Roman"/>
          <w:b/>
          <w:bCs/>
          <w:color w:val="1F3864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color w:val="1F3864"/>
          <w:sz w:val="28"/>
          <w:szCs w:val="28"/>
          <w:lang w:val="en-US" w:eastAsia="zh-CN"/>
        </w:rPr>
        <w:t>4</w:t>
      </w:r>
      <w:r>
        <w:rPr>
          <w:rFonts w:ascii="Times New Roman" w:hAnsi="Times New Roman" w:eastAsia="宋体" w:cs="Times New Roman"/>
          <w:b/>
          <w:bCs/>
          <w:color w:val="1F3864"/>
          <w:sz w:val="28"/>
          <w:szCs w:val="28"/>
        </w:rPr>
        <w:t>. 知识产权与数据安全</w:t>
      </w:r>
    </w:p>
    <w:p w14:paraId="5D5FFC42">
      <w:pPr>
        <w:spacing w:line="360" w:lineRule="atLeast"/>
        <w:ind w:left="425" w:firstLine="480" w:firstLineChars="200"/>
        <w:rPr>
          <w:rFonts w:ascii="Times New Roman" w:hAnsi="Times New Roman" w:eastAsia="宋体" w:cs="Times New Roman"/>
          <w:color w:val="1F2329"/>
          <w:sz w:val="24"/>
        </w:rPr>
      </w:pPr>
      <w:r>
        <w:rPr>
          <w:rFonts w:ascii="Times New Roman" w:hAnsi="Times New Roman" w:eastAsia="宋体" w:cs="Times New Roman"/>
          <w:color w:val="1F2329"/>
          <w:sz w:val="24"/>
        </w:rPr>
        <w:t>软件知识产权归原厂商所有，供应商须确保医院合法永久使用，无版权纠纷</w:t>
      </w:r>
      <w:r>
        <w:rPr>
          <w:rFonts w:hint="eastAsia" w:ascii="Times New Roman" w:hAnsi="Times New Roman" w:eastAsia="宋体" w:cs="Times New Roman"/>
          <w:color w:val="1F2329"/>
          <w:sz w:val="24"/>
        </w:rPr>
        <w:t>；</w:t>
      </w:r>
      <w:r>
        <w:rPr>
          <w:rFonts w:ascii="Times New Roman" w:hAnsi="Times New Roman" w:eastAsia="宋体" w:cs="Times New Roman"/>
          <w:color w:val="1F2329"/>
          <w:sz w:val="24"/>
        </w:rPr>
        <w:t>供应商须对医院患者信息及业务数据严格保密，不得泄露、篡改或用于其他用途</w:t>
      </w:r>
      <w:r>
        <w:rPr>
          <w:rFonts w:hint="eastAsia" w:ascii="Times New Roman" w:hAnsi="Times New Roman" w:eastAsia="宋体" w:cs="Times New Roman"/>
          <w:color w:val="1F2329"/>
          <w:sz w:val="24"/>
        </w:rPr>
        <w:t>；</w:t>
      </w:r>
      <w:r>
        <w:rPr>
          <w:rFonts w:ascii="Times New Roman" w:hAnsi="Times New Roman" w:eastAsia="宋体" w:cs="Times New Roman"/>
          <w:color w:val="1F2329"/>
          <w:sz w:val="24"/>
        </w:rPr>
        <w:t>免费提供现场操作培训 1 次。</w:t>
      </w:r>
    </w:p>
    <w:p w14:paraId="6C30A6E5">
      <w:pPr>
        <w:spacing w:line="360" w:lineRule="atLeast"/>
        <w:ind w:left="425"/>
        <w:rPr>
          <w:rFonts w:ascii="Times New Roman" w:hAnsi="Times New Roman" w:eastAsia="宋体" w:cs="Times New Roman"/>
          <w:color w:val="1F2329"/>
          <w:sz w:val="24"/>
        </w:rPr>
      </w:pPr>
    </w:p>
    <w:p w14:paraId="1DBEC436">
      <w:pPr>
        <w:spacing w:line="360" w:lineRule="atLeast"/>
        <w:ind w:left="425"/>
        <w:jc w:val="right"/>
        <w:rPr>
          <w:rFonts w:ascii="Times New Roman" w:hAnsi="Times New Roman" w:eastAsia="宋体" w:cs="Times New Roman"/>
          <w:color w:val="1F2329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D2D"/>
    <w:rsid w:val="00055171"/>
    <w:rsid w:val="00117E46"/>
    <w:rsid w:val="0016667A"/>
    <w:rsid w:val="005775CD"/>
    <w:rsid w:val="00596FA2"/>
    <w:rsid w:val="00787556"/>
    <w:rsid w:val="00A50D2D"/>
    <w:rsid w:val="00E83BBD"/>
    <w:rsid w:val="075D7F93"/>
    <w:rsid w:val="0A3F6990"/>
    <w:rsid w:val="0CA21D1B"/>
    <w:rsid w:val="0D3D45E0"/>
    <w:rsid w:val="12E3213E"/>
    <w:rsid w:val="1B23480E"/>
    <w:rsid w:val="1BBA79F2"/>
    <w:rsid w:val="1CB57C6D"/>
    <w:rsid w:val="1F400656"/>
    <w:rsid w:val="25753B62"/>
    <w:rsid w:val="25BC624A"/>
    <w:rsid w:val="2A450E9A"/>
    <w:rsid w:val="2F692AFC"/>
    <w:rsid w:val="366A5CD5"/>
    <w:rsid w:val="3D8C2A7A"/>
    <w:rsid w:val="43561B6F"/>
    <w:rsid w:val="50C004DD"/>
    <w:rsid w:val="53EC6950"/>
    <w:rsid w:val="54FE6FE6"/>
    <w:rsid w:val="561D3B37"/>
    <w:rsid w:val="573D50A7"/>
    <w:rsid w:val="593A1626"/>
    <w:rsid w:val="5C545824"/>
    <w:rsid w:val="5EE222A7"/>
    <w:rsid w:val="62895C40"/>
    <w:rsid w:val="6541750F"/>
    <w:rsid w:val="6A500DB7"/>
    <w:rsid w:val="6B0D5AD6"/>
    <w:rsid w:val="6EF40484"/>
    <w:rsid w:val="6FEF6D25"/>
    <w:rsid w:val="77247C84"/>
    <w:rsid w:val="7CF5040F"/>
    <w:rsid w:val="7FEF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99"/>
    <w:rPr>
      <w:rFonts w:ascii="宋体" w:hAnsi="宋体" w:cs="宋体"/>
      <w:sz w:val="28"/>
      <w:szCs w:val="28"/>
    </w:rPr>
  </w:style>
  <w:style w:type="paragraph" w:styleId="5">
    <w:name w:val="Body Text 2"/>
    <w:basedOn w:val="1"/>
    <w:qFormat/>
    <w:uiPriority w:val="0"/>
    <w:rPr>
      <w:rFonts w:ascii="Times New Roman" w:hAnsi="Times New Roman" w:cs="Times New Roman"/>
      <w:sz w:val="24"/>
    </w:rPr>
  </w:style>
  <w:style w:type="paragraph" w:styleId="6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Char"/>
    <w:basedOn w:val="9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998</Words>
  <Characters>1051</Characters>
  <Lines>3</Lines>
  <Paragraphs>7</Paragraphs>
  <TotalTime>62</TotalTime>
  <ScaleCrop>false</ScaleCrop>
  <LinksUpToDate>false</LinksUpToDate>
  <CharactersWithSpaces>1081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2025-08-13T08:18:00Z</dcterms:created>
  <dc:creator>xxzx</dc:creator>
  <cp:lastModifiedBy>李先森。。。。（李璟）</cp:lastModifiedBy>
  <cp:lastPrinted>2025-08-29T09:16:00Z</cp:lastPrinted>
  <dcterms:modified xsi:type="dcterms:W3CDTF">2026-10-23T08:46:13Z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eyJoZGlkIjoiMWY4NTc0MzQ5YTUxMDk4OTJkZGUxOGU4NDc5ZmRkMzYiLCJ1c2VySWQiOiI0MDM5NzU1NTcifQ==</vt:lpwstr>
  </property>
  <property fmtid="{D5CDD505-2E9C-101B-9397-08002B2CF9AE}" pid="4" name="ICV">
    <vt:lpwstr>90E7366DC75E420B82A9FA6A3078AA86_13</vt:lpwstr>
  </property>
</Properties>
</file>