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B6851">
      <w:pPr>
        <w:spacing w:line="360" w:lineRule="auto"/>
        <w:jc w:val="center"/>
        <w:outlineLvl w:val="0"/>
        <w:rPr>
          <w:rFonts w:hint="eastAsia" w:ascii="宋体" w:hAnsi="宋体" w:cs="宋体"/>
          <w:b/>
          <w:sz w:val="28"/>
          <w:szCs w:val="28"/>
        </w:rPr>
      </w:pPr>
      <w:bookmarkStart w:id="0" w:name="_Toc999766450"/>
      <w:bookmarkStart w:id="1" w:name="_Toc183992801"/>
      <w:r>
        <w:rPr>
          <w:rFonts w:hint="eastAsia" w:ascii="宋体" w:hAnsi="宋体" w:cs="宋体"/>
          <w:b/>
          <w:sz w:val="28"/>
          <w:szCs w:val="28"/>
        </w:rPr>
        <w:t>医保支付与病案质控智能管理系统采购项目需求</w:t>
      </w:r>
    </w:p>
    <w:p w14:paraId="27FA6F33">
      <w:pPr>
        <w:spacing w:line="360" w:lineRule="auto"/>
        <w:jc w:val="center"/>
        <w:outlineLvl w:val="0"/>
        <w:rPr>
          <w:rFonts w:ascii="宋体" w:hAnsi="宋体" w:cs="宋体"/>
          <w:b/>
          <w:sz w:val="24"/>
        </w:rPr>
      </w:pPr>
      <w:r>
        <w:rPr>
          <w:rFonts w:hint="eastAsia" w:ascii="宋体" w:hAnsi="宋体" w:cs="宋体"/>
          <w:b/>
          <w:sz w:val="24"/>
        </w:rPr>
        <w:t>一、项目基本信息</w:t>
      </w:r>
    </w:p>
    <w:p w14:paraId="3F6D23AC">
      <w:pPr>
        <w:spacing w:line="360" w:lineRule="auto"/>
        <w:ind w:firstLine="482" w:firstLineChars="200"/>
        <w:jc w:val="left"/>
        <w:outlineLvl w:val="0"/>
        <w:rPr>
          <w:rFonts w:ascii="宋体" w:hAnsi="宋体" w:cs="宋体"/>
          <w:b/>
          <w:sz w:val="24"/>
        </w:rPr>
      </w:pPr>
      <w:r>
        <w:rPr>
          <w:rFonts w:hint="eastAsia" w:ascii="宋体" w:hAnsi="宋体" w:cs="宋体"/>
          <w:b/>
          <w:sz w:val="24"/>
        </w:rPr>
        <w:t>项目建设三个维度的应用，包含医保结算病案首页全流程实时质控体系、打造AI驱动的医保结算ICD编码深度内涵质控、建立全量结算病案自动化内涵质量智能防线，通过项目建设，最终建立智能化、全流程的医保结算病案数据与病历质量管理体系。</w:t>
      </w:r>
    </w:p>
    <w:p w14:paraId="648D2B51">
      <w:pPr>
        <w:spacing w:line="360" w:lineRule="auto"/>
        <w:jc w:val="center"/>
        <w:outlineLvl w:val="0"/>
        <w:rPr>
          <w:rFonts w:ascii="宋体" w:hAnsi="宋体" w:cs="宋体"/>
          <w:b/>
          <w:sz w:val="24"/>
        </w:rPr>
      </w:pPr>
      <w:r>
        <w:rPr>
          <w:rFonts w:hint="eastAsia" w:ascii="宋体" w:hAnsi="宋体" w:cs="宋体"/>
          <w:b/>
          <w:sz w:val="24"/>
        </w:rPr>
        <w:t>二、技术需求</w:t>
      </w:r>
    </w:p>
    <w:bookmarkEnd w:id="0"/>
    <w:p w14:paraId="0F5AF2A7">
      <w:pPr>
        <w:spacing w:line="360" w:lineRule="auto"/>
        <w:ind w:firstLine="482" w:firstLineChars="200"/>
        <w:rPr>
          <w:rFonts w:ascii="宋体" w:hAnsi="宋体" w:cs="宋体"/>
          <w:b/>
          <w:bCs/>
          <w:sz w:val="24"/>
        </w:rPr>
      </w:pPr>
    </w:p>
    <w:tbl>
      <w:tblPr>
        <w:tblStyle w:val="1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476"/>
        <w:gridCol w:w="1469"/>
        <w:gridCol w:w="259"/>
        <w:gridCol w:w="4729"/>
        <w:gridCol w:w="825"/>
        <w:gridCol w:w="445"/>
      </w:tblGrid>
      <w:tr w14:paraId="2056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558" w:hRule="atLeast"/>
          <w:jc w:val="center"/>
        </w:trPr>
        <w:tc>
          <w:tcPr>
            <w:tcW w:w="868"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BA274AD">
            <w:pPr>
              <w:spacing w:line="360" w:lineRule="auto"/>
              <w:jc w:val="center"/>
              <w:rPr>
                <w:rFonts w:ascii="宋体" w:hAnsi="宋体" w:cs="宋体"/>
                <w:b/>
                <w:bCs/>
                <w:sz w:val="24"/>
              </w:rPr>
            </w:pPr>
            <w:r>
              <w:rPr>
                <w:rFonts w:hint="eastAsia" w:ascii="宋体" w:hAnsi="宋体" w:cs="宋体"/>
                <w:b/>
                <w:bCs/>
                <w:sz w:val="24"/>
              </w:rPr>
              <w:t>序号</w:t>
            </w:r>
          </w:p>
        </w:tc>
        <w:tc>
          <w:tcPr>
            <w:tcW w:w="1945" w:type="dxa"/>
            <w:gridSpan w:val="2"/>
            <w:tcBorders>
              <w:top w:val="single" w:color="auto" w:sz="4" w:space="0"/>
              <w:left w:val="single" w:color="auto" w:sz="4" w:space="0"/>
              <w:right w:val="single" w:color="auto" w:sz="4" w:space="0"/>
            </w:tcBorders>
            <w:shd w:val="clear" w:color="auto" w:fill="BEBEBE" w:themeFill="background1" w:themeFillShade="BF"/>
            <w:vAlign w:val="center"/>
          </w:tcPr>
          <w:p w14:paraId="1CF4F07D">
            <w:pPr>
              <w:spacing w:line="360" w:lineRule="auto"/>
              <w:jc w:val="center"/>
              <w:rPr>
                <w:rFonts w:ascii="宋体" w:hAnsi="宋体" w:cs="宋体"/>
                <w:b/>
                <w:bCs/>
                <w:sz w:val="24"/>
              </w:rPr>
            </w:pPr>
            <w:r>
              <w:rPr>
                <w:rFonts w:hint="eastAsia" w:ascii="宋体" w:hAnsi="宋体" w:cs="宋体"/>
                <w:b/>
                <w:bCs/>
                <w:sz w:val="24"/>
              </w:rPr>
              <w:t>功能模块</w:t>
            </w:r>
          </w:p>
        </w:tc>
        <w:tc>
          <w:tcPr>
            <w:tcW w:w="4988" w:type="dxa"/>
            <w:gridSpan w:val="2"/>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EF446BE">
            <w:pPr>
              <w:spacing w:line="360" w:lineRule="auto"/>
              <w:jc w:val="center"/>
              <w:rPr>
                <w:rFonts w:ascii="宋体" w:hAnsi="宋体" w:cs="宋体"/>
                <w:b/>
                <w:bCs/>
                <w:sz w:val="24"/>
              </w:rPr>
            </w:pPr>
            <w:r>
              <w:rPr>
                <w:rFonts w:hint="eastAsia" w:ascii="宋体" w:hAnsi="宋体" w:cs="宋体"/>
                <w:b/>
                <w:bCs/>
                <w:sz w:val="24"/>
              </w:rPr>
              <w:t>具体功能描述</w:t>
            </w:r>
          </w:p>
        </w:tc>
        <w:tc>
          <w:tcPr>
            <w:tcW w:w="825" w:type="dxa"/>
            <w:tcBorders>
              <w:top w:val="single" w:color="auto" w:sz="4" w:space="0"/>
              <w:left w:val="single" w:color="auto" w:sz="4" w:space="0"/>
              <w:right w:val="single" w:color="auto" w:sz="4" w:space="0"/>
            </w:tcBorders>
            <w:shd w:val="clear" w:color="auto" w:fill="BEBEBE" w:themeFill="background1" w:themeFillShade="BF"/>
            <w:vAlign w:val="center"/>
          </w:tcPr>
          <w:p w14:paraId="269DACE1">
            <w:pPr>
              <w:spacing w:line="360" w:lineRule="auto"/>
              <w:jc w:val="center"/>
              <w:rPr>
                <w:rFonts w:ascii="宋体" w:hAnsi="宋体" w:cs="宋体"/>
                <w:b/>
                <w:bCs/>
                <w:sz w:val="24"/>
              </w:rPr>
            </w:pPr>
            <w:r>
              <w:rPr>
                <w:rFonts w:hint="eastAsia" w:ascii="宋体" w:hAnsi="宋体" w:cs="宋体"/>
                <w:b/>
                <w:bCs/>
                <w:sz w:val="24"/>
              </w:rPr>
              <w:t>备注</w:t>
            </w:r>
          </w:p>
        </w:tc>
      </w:tr>
      <w:tr w14:paraId="13ED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A640448">
            <w:pPr>
              <w:spacing w:line="360" w:lineRule="auto"/>
              <w:jc w:val="center"/>
              <w:rPr>
                <w:rFonts w:ascii="宋体" w:hAnsi="宋体" w:cs="宋体"/>
                <w:b/>
                <w:bCs/>
                <w:sz w:val="24"/>
              </w:rPr>
            </w:pPr>
            <w:r>
              <w:rPr>
                <w:rFonts w:hint="eastAsia" w:ascii="宋体" w:hAnsi="宋体" w:cs="宋体"/>
                <w:b/>
                <w:bCs/>
                <w:sz w:val="24"/>
              </w:rPr>
              <w:t>1</w:t>
            </w:r>
          </w:p>
        </w:tc>
        <w:tc>
          <w:tcPr>
            <w:tcW w:w="1945" w:type="dxa"/>
            <w:gridSpan w:val="2"/>
            <w:tcBorders>
              <w:left w:val="single" w:color="auto" w:sz="4" w:space="0"/>
              <w:right w:val="single" w:color="auto" w:sz="4" w:space="0"/>
            </w:tcBorders>
            <w:vAlign w:val="center"/>
          </w:tcPr>
          <w:p w14:paraId="52A1A0F4">
            <w:pPr>
              <w:spacing w:line="360" w:lineRule="auto"/>
              <w:jc w:val="center"/>
              <w:rPr>
                <w:rFonts w:ascii="宋体" w:hAnsi="宋体" w:cs="宋体"/>
                <w:sz w:val="24"/>
                <w:lang w:eastAsia="zh-Hans"/>
              </w:rPr>
            </w:pPr>
            <w:r>
              <w:rPr>
                <w:rFonts w:hint="eastAsia" w:ascii="宋体" w:hAnsi="宋体" w:cs="宋体"/>
                <w:sz w:val="24"/>
                <w:lang w:eastAsia="zh-Hans"/>
              </w:rPr>
              <w:t>临床医生病历</w:t>
            </w:r>
          </w:p>
          <w:p w14:paraId="03421EA8">
            <w:pPr>
              <w:spacing w:line="360" w:lineRule="auto"/>
              <w:jc w:val="center"/>
              <w:rPr>
                <w:rFonts w:ascii="宋体" w:hAnsi="宋体" w:cs="宋体"/>
                <w:b/>
                <w:bCs/>
                <w:sz w:val="24"/>
              </w:rPr>
            </w:pPr>
            <w:r>
              <w:rPr>
                <w:rFonts w:hint="eastAsia" w:ascii="宋体" w:hAnsi="宋体" w:cs="宋体"/>
                <w:sz w:val="24"/>
              </w:rPr>
              <w:t>书写</w:t>
            </w:r>
            <w:r>
              <w:rPr>
                <w:rFonts w:hint="eastAsia" w:ascii="宋体" w:hAnsi="宋体" w:cs="宋体"/>
                <w:sz w:val="24"/>
                <w:lang w:eastAsia="zh-Hans"/>
              </w:rPr>
              <w:t>提醒端</w:t>
            </w:r>
          </w:p>
        </w:tc>
        <w:tc>
          <w:tcPr>
            <w:tcW w:w="4988" w:type="dxa"/>
            <w:gridSpan w:val="2"/>
            <w:tcBorders>
              <w:top w:val="single" w:color="auto" w:sz="4" w:space="0"/>
              <w:left w:val="single" w:color="auto" w:sz="4" w:space="0"/>
              <w:bottom w:val="single" w:color="auto" w:sz="4" w:space="0"/>
              <w:right w:val="single" w:color="auto" w:sz="4" w:space="0"/>
            </w:tcBorders>
            <w:vAlign w:val="center"/>
          </w:tcPr>
          <w:p w14:paraId="23871D62">
            <w:pPr>
              <w:spacing w:line="360" w:lineRule="auto"/>
              <w:jc w:val="left"/>
              <w:rPr>
                <w:rFonts w:ascii="宋体" w:hAnsi="宋体" w:cs="宋体"/>
                <w:sz w:val="24"/>
              </w:rPr>
            </w:pPr>
            <w:bookmarkStart w:id="2" w:name="OLE_LINK2"/>
            <w:r>
              <w:rPr>
                <w:rFonts w:hint="eastAsia" w:ascii="宋体" w:hAnsi="宋体" w:cs="宋体"/>
                <w:sz w:val="24"/>
              </w:rPr>
              <w:t>支持对接院内住院和门诊电子病历系统，通过“插件”的形式实现在临床医生书写病历过程中，反馈病历文书存在的质控问题和缺陷。针对具有书写时效性的病历文书需进行</w:t>
            </w:r>
            <w:r>
              <w:rPr>
                <w:rFonts w:hint="eastAsia" w:ascii="宋体" w:hAnsi="宋体" w:cs="宋体"/>
                <w:sz w:val="24"/>
                <w:lang w:eastAsia="zh-Hans"/>
              </w:rPr>
              <w:t>全流程追踪</w:t>
            </w:r>
            <w:r>
              <w:rPr>
                <w:rFonts w:hint="eastAsia" w:ascii="宋体" w:hAnsi="宋体" w:cs="宋体"/>
                <w:sz w:val="24"/>
              </w:rPr>
              <w:t>，</w:t>
            </w:r>
            <w:r>
              <w:rPr>
                <w:rFonts w:hint="eastAsia" w:ascii="宋体" w:hAnsi="宋体" w:cs="宋体"/>
                <w:sz w:val="24"/>
                <w:lang w:eastAsia="zh-Hans"/>
              </w:rPr>
              <w:t>搭配</w:t>
            </w:r>
            <w:r>
              <w:rPr>
                <w:rFonts w:hint="eastAsia" w:ascii="宋体" w:hAnsi="宋体" w:cs="宋体"/>
                <w:sz w:val="24"/>
              </w:rPr>
              <w:t>书写</w:t>
            </w:r>
            <w:r>
              <w:rPr>
                <w:rFonts w:hint="eastAsia" w:ascii="宋体" w:hAnsi="宋体" w:cs="宋体"/>
                <w:sz w:val="24"/>
                <w:lang w:eastAsia="zh-Hans"/>
              </w:rPr>
              <w:t>倒计时直观展示文书时限</w:t>
            </w:r>
            <w:r>
              <w:rPr>
                <w:rFonts w:hint="eastAsia" w:ascii="宋体" w:hAnsi="宋体" w:cs="宋体"/>
                <w:sz w:val="24"/>
              </w:rPr>
              <w:t>进度。并支持临床端与质控端交互，</w:t>
            </w:r>
            <w:r>
              <w:rPr>
                <w:rFonts w:hint="eastAsia" w:ascii="宋体" w:hAnsi="宋体" w:cs="宋体"/>
                <w:sz w:val="24"/>
                <w:lang w:eastAsia="zh-Hans"/>
              </w:rPr>
              <w:t>实现质控问题从下发、反馈到审核通过的全流程闭环管理</w:t>
            </w:r>
            <w:r>
              <w:rPr>
                <w:rFonts w:hint="eastAsia" w:ascii="宋体" w:hAnsi="宋体" w:cs="宋体"/>
                <w:sz w:val="24"/>
              </w:rPr>
              <w:t>。</w:t>
            </w:r>
            <w:bookmarkEnd w:id="2"/>
          </w:p>
        </w:tc>
        <w:tc>
          <w:tcPr>
            <w:tcW w:w="825" w:type="dxa"/>
            <w:tcBorders>
              <w:left w:val="single" w:color="auto" w:sz="4" w:space="0"/>
              <w:right w:val="single" w:color="auto" w:sz="4" w:space="0"/>
            </w:tcBorders>
            <w:vAlign w:val="center"/>
          </w:tcPr>
          <w:p w14:paraId="158B2677">
            <w:pPr>
              <w:spacing w:line="360" w:lineRule="auto"/>
              <w:jc w:val="center"/>
              <w:rPr>
                <w:rFonts w:ascii="宋体" w:hAnsi="宋体" w:cs="宋体"/>
                <w:color w:val="000000"/>
                <w:kern w:val="0"/>
                <w:sz w:val="24"/>
              </w:rPr>
            </w:pPr>
          </w:p>
        </w:tc>
      </w:tr>
      <w:tr w14:paraId="6CA5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AE99EB3">
            <w:pPr>
              <w:spacing w:line="360" w:lineRule="auto"/>
              <w:jc w:val="center"/>
              <w:rPr>
                <w:rFonts w:ascii="宋体" w:hAnsi="宋体" w:cs="宋体"/>
                <w:b/>
                <w:bCs/>
                <w:sz w:val="24"/>
              </w:rPr>
            </w:pPr>
            <w:r>
              <w:rPr>
                <w:rFonts w:hint="eastAsia" w:ascii="宋体" w:hAnsi="宋体" w:cs="宋体"/>
                <w:b/>
                <w:bCs/>
                <w:sz w:val="24"/>
              </w:rPr>
              <w:t>2</w:t>
            </w:r>
          </w:p>
        </w:tc>
        <w:tc>
          <w:tcPr>
            <w:tcW w:w="1945" w:type="dxa"/>
            <w:gridSpan w:val="2"/>
            <w:tcBorders>
              <w:left w:val="single" w:color="auto" w:sz="4" w:space="0"/>
              <w:right w:val="single" w:color="auto" w:sz="4" w:space="0"/>
            </w:tcBorders>
            <w:vAlign w:val="center"/>
          </w:tcPr>
          <w:p w14:paraId="78D7A751">
            <w:pPr>
              <w:spacing w:line="360" w:lineRule="auto"/>
              <w:jc w:val="center"/>
              <w:rPr>
                <w:rFonts w:ascii="宋体" w:hAnsi="宋体" w:cs="宋体"/>
                <w:sz w:val="24"/>
              </w:rPr>
            </w:pPr>
            <w:r>
              <w:rPr>
                <w:rFonts w:hint="eastAsia" w:ascii="宋体" w:hAnsi="宋体" w:cs="宋体"/>
                <w:sz w:val="24"/>
                <w:lang w:eastAsia="zh-Hans"/>
              </w:rPr>
              <w:t>运行/终末</w:t>
            </w:r>
            <w:r>
              <w:rPr>
                <w:rFonts w:hint="eastAsia" w:ascii="宋体" w:hAnsi="宋体" w:cs="宋体"/>
                <w:sz w:val="24"/>
              </w:rPr>
              <w:t>结算问题</w:t>
            </w:r>
            <w:r>
              <w:rPr>
                <w:rFonts w:hint="eastAsia" w:ascii="宋体" w:hAnsi="宋体" w:cs="宋体"/>
                <w:sz w:val="24"/>
                <w:lang w:eastAsia="zh-Hans"/>
              </w:rPr>
              <w:t>审核端</w:t>
            </w:r>
          </w:p>
        </w:tc>
        <w:tc>
          <w:tcPr>
            <w:tcW w:w="4988" w:type="dxa"/>
            <w:gridSpan w:val="2"/>
            <w:tcBorders>
              <w:top w:val="single" w:color="auto" w:sz="4" w:space="0"/>
              <w:left w:val="single" w:color="auto" w:sz="4" w:space="0"/>
              <w:bottom w:val="single" w:color="auto" w:sz="4" w:space="0"/>
              <w:right w:val="single" w:color="auto" w:sz="4" w:space="0"/>
            </w:tcBorders>
            <w:vAlign w:val="center"/>
          </w:tcPr>
          <w:p w14:paraId="0831D042">
            <w:pPr>
              <w:spacing w:line="360" w:lineRule="auto"/>
              <w:jc w:val="left"/>
              <w:rPr>
                <w:rFonts w:ascii="宋体" w:hAnsi="宋体" w:cs="宋体"/>
                <w:sz w:val="24"/>
              </w:rPr>
            </w:pPr>
            <w:r>
              <w:rPr>
                <w:rFonts w:hint="eastAsia" w:ascii="宋体" w:hAnsi="宋体" w:cs="宋体"/>
                <w:sz w:val="24"/>
              </w:rPr>
              <w:t>支持对接院内医院无纸化系统/CDR视图/360视图等，供质控端浏览患者完整的电子病历原文。需具备运行与终末质控任务的调度管理与执行的管理功能，提供长期与临时任务模板配置，实现任务全流程可视化管控。运行/终末病历检索审核以“机器+人工”的形式进行，质控维度覆盖“病历内容质控”、“病历完整质控”、“病历相似质控”、“病历时效质控”，提供病历评分表，可按不同文书类型拆解评分项目，清晰呈现评分标准、质控规则、规则描述与对应扣分。同时提供对质控完成的病历及其存在的问题与临床医生端进行交互管理。实现问题从识别到解决的全流程闭环管理。</w:t>
            </w:r>
          </w:p>
        </w:tc>
        <w:tc>
          <w:tcPr>
            <w:tcW w:w="825" w:type="dxa"/>
            <w:tcBorders>
              <w:left w:val="single" w:color="auto" w:sz="4" w:space="0"/>
              <w:right w:val="single" w:color="auto" w:sz="4" w:space="0"/>
            </w:tcBorders>
            <w:vAlign w:val="center"/>
          </w:tcPr>
          <w:p w14:paraId="419D9551">
            <w:pPr>
              <w:spacing w:line="360" w:lineRule="auto"/>
              <w:jc w:val="center"/>
              <w:rPr>
                <w:rFonts w:ascii="宋体" w:hAnsi="宋体" w:cs="宋体"/>
                <w:color w:val="000000"/>
                <w:kern w:val="0"/>
                <w:sz w:val="24"/>
              </w:rPr>
            </w:pPr>
          </w:p>
        </w:tc>
      </w:tr>
      <w:tr w14:paraId="0A50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FB49974">
            <w:pPr>
              <w:spacing w:line="360" w:lineRule="auto"/>
              <w:jc w:val="center"/>
              <w:rPr>
                <w:rFonts w:ascii="宋体" w:hAnsi="宋体" w:cs="宋体"/>
                <w:b/>
                <w:bCs/>
                <w:sz w:val="24"/>
              </w:rPr>
            </w:pPr>
            <w:r>
              <w:rPr>
                <w:rFonts w:hint="eastAsia" w:ascii="宋体" w:hAnsi="宋体" w:cs="宋体"/>
                <w:b/>
                <w:bCs/>
                <w:sz w:val="24"/>
              </w:rPr>
              <w:t>3</w:t>
            </w:r>
          </w:p>
        </w:tc>
        <w:tc>
          <w:tcPr>
            <w:tcW w:w="1945" w:type="dxa"/>
            <w:gridSpan w:val="2"/>
            <w:tcBorders>
              <w:left w:val="single" w:color="auto" w:sz="4" w:space="0"/>
              <w:right w:val="single" w:color="auto" w:sz="4" w:space="0"/>
            </w:tcBorders>
            <w:vAlign w:val="center"/>
          </w:tcPr>
          <w:p w14:paraId="109AC3B5">
            <w:pPr>
              <w:spacing w:line="360" w:lineRule="auto"/>
              <w:jc w:val="center"/>
              <w:rPr>
                <w:rFonts w:ascii="宋体" w:hAnsi="宋体" w:cs="宋体"/>
                <w:sz w:val="24"/>
                <w:lang w:eastAsia="zh-Hans"/>
              </w:rPr>
            </w:pPr>
            <w:r>
              <w:rPr>
                <w:rFonts w:hint="eastAsia" w:ascii="宋体" w:hAnsi="宋体" w:cs="宋体"/>
                <w:sz w:val="24"/>
              </w:rPr>
              <w:t>病案首页结算数据质控模块</w:t>
            </w:r>
          </w:p>
        </w:tc>
        <w:tc>
          <w:tcPr>
            <w:tcW w:w="4988" w:type="dxa"/>
            <w:gridSpan w:val="2"/>
            <w:tcBorders>
              <w:top w:val="single" w:color="auto" w:sz="4" w:space="0"/>
              <w:left w:val="single" w:color="auto" w:sz="4" w:space="0"/>
              <w:bottom w:val="single" w:color="auto" w:sz="4" w:space="0"/>
              <w:right w:val="single" w:color="auto" w:sz="4" w:space="0"/>
            </w:tcBorders>
            <w:vAlign w:val="center"/>
          </w:tcPr>
          <w:p w14:paraId="5CC5C935">
            <w:pPr>
              <w:spacing w:line="360" w:lineRule="auto"/>
              <w:ind w:firstLine="420"/>
              <w:rPr>
                <w:rFonts w:ascii="宋体" w:hAnsi="宋体" w:cs="宋体"/>
                <w:sz w:val="24"/>
              </w:rPr>
            </w:pPr>
            <w:r>
              <w:rPr>
                <w:rFonts w:hint="eastAsia" w:ascii="宋体" w:hAnsi="宋体" w:cs="宋体"/>
                <w:sz w:val="24"/>
              </w:rPr>
              <w:t>支持住院病案首页结算数据全流程质控，包括临床医生端事前质控、病案端编目实时质控、互检抽查质控等。系统内置病案首页结算数据质控规则知识库，涵盖病案首页结算数据必填项、完整性、逻辑合理性、诊断编码质控、手术编码质控、费用合理性、公立医院绩效考核规则等。依据病案首页医保结算数据最新数据实时反馈质控结果，实现病案首页医保结算数据全方位全流程的质控效果。</w:t>
            </w:r>
          </w:p>
        </w:tc>
        <w:tc>
          <w:tcPr>
            <w:tcW w:w="825" w:type="dxa"/>
            <w:tcBorders>
              <w:left w:val="single" w:color="auto" w:sz="4" w:space="0"/>
              <w:right w:val="single" w:color="auto" w:sz="4" w:space="0"/>
            </w:tcBorders>
            <w:vAlign w:val="center"/>
          </w:tcPr>
          <w:p w14:paraId="0ACB5818">
            <w:pPr>
              <w:spacing w:line="360" w:lineRule="auto"/>
              <w:jc w:val="center"/>
              <w:rPr>
                <w:rFonts w:ascii="宋体" w:hAnsi="宋体" w:cs="宋体"/>
                <w:color w:val="000000"/>
                <w:kern w:val="0"/>
                <w:sz w:val="24"/>
              </w:rPr>
            </w:pPr>
          </w:p>
        </w:tc>
      </w:tr>
      <w:tr w14:paraId="31E9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26322457">
            <w:pPr>
              <w:spacing w:line="360" w:lineRule="auto"/>
              <w:jc w:val="center"/>
              <w:rPr>
                <w:rFonts w:ascii="宋体" w:hAnsi="宋体" w:cs="宋体"/>
                <w:b/>
                <w:bCs/>
                <w:sz w:val="24"/>
              </w:rPr>
            </w:pPr>
            <w:r>
              <w:rPr>
                <w:rFonts w:hint="eastAsia" w:ascii="宋体" w:hAnsi="宋体" w:cs="宋体"/>
                <w:b/>
                <w:bCs/>
                <w:sz w:val="24"/>
              </w:rPr>
              <w:t>4</w:t>
            </w:r>
          </w:p>
        </w:tc>
        <w:tc>
          <w:tcPr>
            <w:tcW w:w="1945" w:type="dxa"/>
            <w:gridSpan w:val="2"/>
            <w:tcBorders>
              <w:left w:val="single" w:color="auto" w:sz="4" w:space="0"/>
              <w:right w:val="single" w:color="auto" w:sz="4" w:space="0"/>
            </w:tcBorders>
            <w:vAlign w:val="center"/>
          </w:tcPr>
          <w:p w14:paraId="31589E05">
            <w:pPr>
              <w:spacing w:line="360" w:lineRule="auto"/>
              <w:jc w:val="center"/>
              <w:rPr>
                <w:rFonts w:ascii="宋体" w:hAnsi="宋体" w:cs="宋体"/>
                <w:sz w:val="24"/>
              </w:rPr>
            </w:pPr>
            <w:r>
              <w:rPr>
                <w:rFonts w:hint="eastAsia" w:ascii="宋体" w:hAnsi="宋体" w:cs="宋体"/>
                <w:sz w:val="24"/>
              </w:rPr>
              <w:t>病案首页医保结算ICD智能编码</w:t>
            </w:r>
          </w:p>
        </w:tc>
        <w:tc>
          <w:tcPr>
            <w:tcW w:w="4988" w:type="dxa"/>
            <w:gridSpan w:val="2"/>
            <w:tcBorders>
              <w:top w:val="single" w:color="auto" w:sz="4" w:space="0"/>
              <w:left w:val="single" w:color="auto" w:sz="4" w:space="0"/>
              <w:bottom w:val="single" w:color="auto" w:sz="4" w:space="0"/>
              <w:right w:val="single" w:color="auto" w:sz="4" w:space="0"/>
            </w:tcBorders>
            <w:vAlign w:val="center"/>
          </w:tcPr>
          <w:p w14:paraId="3B2920C1">
            <w:pPr>
              <w:spacing w:line="360" w:lineRule="auto"/>
              <w:jc w:val="left"/>
              <w:rPr>
                <w:rFonts w:ascii="宋体" w:hAnsi="宋体" w:cs="宋体"/>
                <w:sz w:val="24"/>
              </w:rPr>
            </w:pPr>
            <w:r>
              <w:rPr>
                <w:rFonts w:hint="eastAsia" w:ascii="宋体" w:hAnsi="宋体" w:cs="宋体"/>
                <w:sz w:val="24"/>
              </w:rPr>
              <w:t>需根据患者实际诊疗过程的病历文书进行深度解析，依据ICD-10/ ICD-9-CM-3的编码逻辑和规范，实现医保结算ICD编码深度内涵质控，面向医保支付结算场景，实现ICD编码的内涵化智能质控；建立病案首页编码与病历原文溯源关联能力，辅助甄别影响医保支付的ICD编码缺陷，包括漏编、多编、笼统编码、编码错配等问题。通过病案首页医保结算ICD编码的病历文书原文溯源依据，协助分析医保结算ICD编码的疑似漏编、多编、使用笼统编码情况。并支持依据《住院病案首页数据填写质量规范》等文件进行“主要诊断”、“主要手术及操作进行质控分析。从源头规避因编码质量瑕疵带来的医保结算异议、支付扣减等风险。</w:t>
            </w:r>
          </w:p>
        </w:tc>
        <w:tc>
          <w:tcPr>
            <w:tcW w:w="825" w:type="dxa"/>
            <w:tcBorders>
              <w:left w:val="single" w:color="auto" w:sz="4" w:space="0"/>
              <w:right w:val="single" w:color="auto" w:sz="4" w:space="0"/>
            </w:tcBorders>
            <w:vAlign w:val="center"/>
          </w:tcPr>
          <w:p w14:paraId="38C91A78">
            <w:pPr>
              <w:spacing w:line="360" w:lineRule="auto"/>
              <w:jc w:val="center"/>
              <w:rPr>
                <w:rFonts w:ascii="宋体" w:hAnsi="宋体" w:cs="宋体"/>
                <w:color w:val="000000"/>
                <w:kern w:val="0"/>
                <w:sz w:val="24"/>
              </w:rPr>
            </w:pPr>
          </w:p>
        </w:tc>
      </w:tr>
      <w:tr w14:paraId="353BE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7B412F27">
            <w:pPr>
              <w:spacing w:line="360" w:lineRule="auto"/>
              <w:jc w:val="center"/>
              <w:rPr>
                <w:rFonts w:ascii="宋体" w:hAnsi="宋体" w:cs="宋体"/>
                <w:b/>
                <w:bCs/>
                <w:sz w:val="24"/>
              </w:rPr>
            </w:pPr>
            <w:r>
              <w:rPr>
                <w:rFonts w:hint="eastAsia" w:ascii="宋体" w:hAnsi="宋体" w:cs="宋体"/>
                <w:b/>
                <w:bCs/>
                <w:sz w:val="24"/>
              </w:rPr>
              <w:t>5</w:t>
            </w:r>
          </w:p>
        </w:tc>
        <w:tc>
          <w:tcPr>
            <w:tcW w:w="1945" w:type="dxa"/>
            <w:gridSpan w:val="2"/>
            <w:tcBorders>
              <w:left w:val="single" w:color="auto" w:sz="4" w:space="0"/>
              <w:right w:val="single" w:color="auto" w:sz="4" w:space="0"/>
            </w:tcBorders>
            <w:vAlign w:val="center"/>
          </w:tcPr>
          <w:p w14:paraId="124944E4">
            <w:pPr>
              <w:spacing w:line="360" w:lineRule="auto"/>
              <w:jc w:val="center"/>
              <w:rPr>
                <w:rFonts w:ascii="宋体" w:hAnsi="宋体" w:cs="宋体"/>
                <w:sz w:val="24"/>
              </w:rPr>
            </w:pPr>
            <w:r>
              <w:rPr>
                <w:rFonts w:hint="eastAsia" w:ascii="宋体" w:hAnsi="宋体" w:cs="宋体"/>
                <w:sz w:val="24"/>
              </w:rPr>
              <w:t>病案医保双首页质控</w:t>
            </w:r>
          </w:p>
        </w:tc>
        <w:tc>
          <w:tcPr>
            <w:tcW w:w="4988" w:type="dxa"/>
            <w:gridSpan w:val="2"/>
            <w:tcBorders>
              <w:top w:val="single" w:color="auto" w:sz="4" w:space="0"/>
              <w:left w:val="single" w:color="auto" w:sz="4" w:space="0"/>
              <w:bottom w:val="single" w:color="auto" w:sz="4" w:space="0"/>
              <w:right w:val="single" w:color="auto" w:sz="4" w:space="0"/>
            </w:tcBorders>
            <w:vAlign w:val="center"/>
          </w:tcPr>
          <w:p w14:paraId="2924775F">
            <w:pPr>
              <w:spacing w:line="360" w:lineRule="auto"/>
              <w:jc w:val="left"/>
              <w:rPr>
                <w:rFonts w:ascii="宋体" w:hAnsi="宋体" w:cs="宋体"/>
                <w:sz w:val="24"/>
              </w:rPr>
            </w:pPr>
            <w:r>
              <w:rPr>
                <w:rFonts w:hint="eastAsia" w:ascii="宋体" w:hAnsi="宋体" w:cs="宋体"/>
                <w:sz w:val="24"/>
              </w:rPr>
              <w:t>支持病案首页编码与医保结算清单（医保版）编码独立或并行维护，面向医保支付全流程，针对医保结算清单对应的</w:t>
            </w:r>
            <w:bookmarkStart w:id="3" w:name="_GoBack"/>
            <w:bookmarkEnd w:id="3"/>
            <w:r>
              <w:rPr>
                <w:rFonts w:hint="eastAsia" w:ascii="宋体" w:hAnsi="宋体" w:cs="宋体"/>
                <w:sz w:val="24"/>
              </w:rPr>
              <w:t>诊断、手术操作编码开展前置质量管控。经本系统质控核验后的标准化核心病案要素，可作为医保结算清单的数据来源，实现病案-医保同源数据一体化治理，为DIP精准入组、医保支付结算提供可信的源头数据底座，降低因病案基础数据缺陷引发的结算争议，保障医保支付工作规范有序开展。</w:t>
            </w:r>
          </w:p>
        </w:tc>
        <w:tc>
          <w:tcPr>
            <w:tcW w:w="825" w:type="dxa"/>
            <w:tcBorders>
              <w:left w:val="single" w:color="auto" w:sz="4" w:space="0"/>
              <w:right w:val="single" w:color="auto" w:sz="4" w:space="0"/>
            </w:tcBorders>
            <w:vAlign w:val="center"/>
          </w:tcPr>
          <w:p w14:paraId="526007E9">
            <w:pPr>
              <w:spacing w:line="360" w:lineRule="auto"/>
              <w:jc w:val="center"/>
              <w:rPr>
                <w:rFonts w:ascii="宋体" w:hAnsi="宋体" w:cs="宋体"/>
                <w:color w:val="000000"/>
                <w:kern w:val="0"/>
                <w:sz w:val="24"/>
              </w:rPr>
            </w:pPr>
          </w:p>
        </w:tc>
      </w:tr>
      <w:tr w14:paraId="77E7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56D6414">
            <w:pPr>
              <w:spacing w:line="360" w:lineRule="auto"/>
              <w:jc w:val="center"/>
              <w:rPr>
                <w:rFonts w:ascii="宋体" w:hAnsi="宋体" w:cs="宋体"/>
                <w:b/>
                <w:bCs/>
                <w:sz w:val="24"/>
              </w:rPr>
            </w:pPr>
            <w:r>
              <w:rPr>
                <w:rFonts w:hint="eastAsia" w:ascii="宋体" w:hAnsi="宋体" w:cs="宋体"/>
                <w:b/>
                <w:bCs/>
                <w:sz w:val="24"/>
              </w:rPr>
              <w:t>6</w:t>
            </w:r>
          </w:p>
        </w:tc>
        <w:tc>
          <w:tcPr>
            <w:tcW w:w="1945" w:type="dxa"/>
            <w:gridSpan w:val="2"/>
            <w:tcBorders>
              <w:left w:val="single" w:color="auto" w:sz="4" w:space="0"/>
              <w:right w:val="single" w:color="auto" w:sz="4" w:space="0"/>
            </w:tcBorders>
            <w:vAlign w:val="center"/>
          </w:tcPr>
          <w:p w14:paraId="27D45CF6">
            <w:pPr>
              <w:spacing w:line="360" w:lineRule="auto"/>
              <w:jc w:val="center"/>
              <w:rPr>
                <w:rFonts w:ascii="宋体" w:hAnsi="宋体" w:cs="宋体"/>
                <w:b/>
                <w:bCs/>
                <w:sz w:val="24"/>
              </w:rPr>
            </w:pPr>
            <w:r>
              <w:rPr>
                <w:rFonts w:hint="eastAsia" w:ascii="宋体" w:hAnsi="宋体" w:cs="宋体"/>
                <w:sz w:val="24"/>
                <w:lang w:eastAsia="zh-Hans"/>
              </w:rPr>
              <w:t>病历质控统计与分析</w:t>
            </w:r>
          </w:p>
        </w:tc>
        <w:tc>
          <w:tcPr>
            <w:tcW w:w="4988" w:type="dxa"/>
            <w:gridSpan w:val="2"/>
            <w:tcBorders>
              <w:top w:val="single" w:color="auto" w:sz="4" w:space="0"/>
              <w:left w:val="single" w:color="auto" w:sz="4" w:space="0"/>
              <w:bottom w:val="single" w:color="auto" w:sz="4" w:space="0"/>
              <w:right w:val="single" w:color="auto" w:sz="4" w:space="0"/>
            </w:tcBorders>
            <w:vAlign w:val="center"/>
          </w:tcPr>
          <w:p w14:paraId="7995744F">
            <w:pPr>
              <w:spacing w:line="360" w:lineRule="auto"/>
              <w:ind w:firstLine="480" w:firstLineChars="200"/>
              <w:jc w:val="left"/>
              <w:rPr>
                <w:rFonts w:ascii="宋体" w:hAnsi="宋体" w:cs="宋体"/>
                <w:sz w:val="24"/>
              </w:rPr>
            </w:pPr>
            <w:r>
              <w:rPr>
                <w:rFonts w:hint="eastAsia" w:ascii="宋体" w:hAnsi="宋体" w:cs="宋体"/>
                <w:sz w:val="24"/>
              </w:rPr>
              <w:t>提供多维度病历质控结果分析，涵盖全院、科级、医疗组、临床医生、人工质控及问题六大维度分析，提供多维度数据看板与可视化图表，追踪病历等级分布、缺陷率、质控率等核心指标，精准定位薄弱环节。同时支持病历质控评分表明细查看与导出，实现质控数据的全方位统计、多维度对标与全流程溯源。</w:t>
            </w:r>
          </w:p>
        </w:tc>
        <w:tc>
          <w:tcPr>
            <w:tcW w:w="825" w:type="dxa"/>
            <w:tcBorders>
              <w:left w:val="single" w:color="auto" w:sz="4" w:space="0"/>
              <w:right w:val="single" w:color="auto" w:sz="4" w:space="0"/>
            </w:tcBorders>
            <w:vAlign w:val="center"/>
          </w:tcPr>
          <w:p w14:paraId="09DD1A5C">
            <w:pPr>
              <w:spacing w:line="360" w:lineRule="auto"/>
              <w:jc w:val="center"/>
              <w:rPr>
                <w:rFonts w:ascii="宋体" w:hAnsi="宋体" w:cs="宋体"/>
                <w:color w:val="000000"/>
                <w:kern w:val="0"/>
                <w:sz w:val="24"/>
              </w:rPr>
            </w:pPr>
          </w:p>
        </w:tc>
      </w:tr>
      <w:tr w14:paraId="43CA4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21ADDD6">
            <w:pPr>
              <w:spacing w:line="360" w:lineRule="auto"/>
              <w:jc w:val="center"/>
              <w:rPr>
                <w:rFonts w:ascii="宋体" w:hAnsi="宋体" w:cs="宋体"/>
                <w:b/>
                <w:bCs/>
                <w:sz w:val="24"/>
              </w:rPr>
            </w:pPr>
            <w:r>
              <w:rPr>
                <w:rFonts w:hint="eastAsia" w:ascii="宋体" w:hAnsi="宋体" w:cs="宋体"/>
                <w:b/>
                <w:bCs/>
                <w:sz w:val="24"/>
              </w:rPr>
              <w:t>7</w:t>
            </w:r>
          </w:p>
        </w:tc>
        <w:tc>
          <w:tcPr>
            <w:tcW w:w="1945" w:type="dxa"/>
            <w:gridSpan w:val="2"/>
            <w:tcBorders>
              <w:left w:val="single" w:color="auto" w:sz="4" w:space="0"/>
              <w:right w:val="single" w:color="auto" w:sz="4" w:space="0"/>
            </w:tcBorders>
            <w:vAlign w:val="center"/>
          </w:tcPr>
          <w:p w14:paraId="1F52BB7C">
            <w:pPr>
              <w:spacing w:line="360" w:lineRule="auto"/>
              <w:jc w:val="center"/>
              <w:rPr>
                <w:rFonts w:ascii="宋体" w:hAnsi="宋体" w:cs="宋体"/>
                <w:b/>
                <w:bCs/>
                <w:sz w:val="24"/>
              </w:rPr>
            </w:pPr>
            <w:r>
              <w:rPr>
                <w:rFonts w:hint="eastAsia" w:ascii="宋体" w:hAnsi="宋体" w:cs="宋体"/>
                <w:sz w:val="24"/>
              </w:rPr>
              <w:t>病历质控专项分析</w:t>
            </w:r>
          </w:p>
        </w:tc>
        <w:tc>
          <w:tcPr>
            <w:tcW w:w="4988" w:type="dxa"/>
            <w:gridSpan w:val="2"/>
            <w:tcBorders>
              <w:top w:val="single" w:color="auto" w:sz="4" w:space="0"/>
              <w:left w:val="single" w:color="auto" w:sz="4" w:space="0"/>
              <w:bottom w:val="single" w:color="auto" w:sz="4" w:space="0"/>
              <w:right w:val="single" w:color="auto" w:sz="4" w:space="0"/>
            </w:tcBorders>
            <w:vAlign w:val="center"/>
          </w:tcPr>
          <w:p w14:paraId="74B56F1F">
            <w:pPr>
              <w:spacing w:line="360" w:lineRule="auto"/>
              <w:jc w:val="left"/>
              <w:rPr>
                <w:rFonts w:ascii="宋体" w:hAnsi="宋体" w:cs="宋体"/>
                <w:sz w:val="24"/>
              </w:rPr>
            </w:pPr>
            <w:r>
              <w:rPr>
                <w:rFonts w:hint="eastAsia" w:ascii="宋体" w:hAnsi="宋体" w:cs="宋体"/>
                <w:kern w:val="0"/>
                <w:sz w:val="22"/>
                <w:szCs w:val="22"/>
                <w:lang w:bidi="ar"/>
              </w:rPr>
              <w:t>病历书写时效性指标、重大检查记录符合率、诊疗行为记录符合率、病历归档质量指标、十八项核心医疗制度质控。肿瘤专业医疗质量控制指标（6项）</w:t>
            </w:r>
          </w:p>
        </w:tc>
        <w:tc>
          <w:tcPr>
            <w:tcW w:w="825" w:type="dxa"/>
            <w:tcBorders>
              <w:left w:val="single" w:color="auto" w:sz="4" w:space="0"/>
              <w:right w:val="single" w:color="auto" w:sz="4" w:space="0"/>
            </w:tcBorders>
            <w:vAlign w:val="center"/>
          </w:tcPr>
          <w:p w14:paraId="0C9F79A5">
            <w:pPr>
              <w:spacing w:line="360" w:lineRule="auto"/>
              <w:jc w:val="center"/>
              <w:rPr>
                <w:rFonts w:ascii="宋体" w:hAnsi="宋体" w:cs="宋体"/>
                <w:color w:val="000000"/>
                <w:kern w:val="0"/>
                <w:sz w:val="24"/>
              </w:rPr>
            </w:pPr>
          </w:p>
        </w:tc>
      </w:tr>
      <w:tr w14:paraId="70D2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110372E">
            <w:pPr>
              <w:spacing w:line="360" w:lineRule="auto"/>
              <w:jc w:val="center"/>
              <w:rPr>
                <w:rFonts w:ascii="宋体" w:hAnsi="宋体" w:cs="宋体"/>
                <w:b/>
                <w:bCs/>
                <w:sz w:val="24"/>
              </w:rPr>
            </w:pPr>
            <w:r>
              <w:rPr>
                <w:rFonts w:hint="eastAsia" w:ascii="宋体" w:hAnsi="宋体" w:cs="宋体"/>
                <w:b/>
                <w:bCs/>
                <w:sz w:val="24"/>
              </w:rPr>
              <w:t>8</w:t>
            </w:r>
          </w:p>
        </w:tc>
        <w:tc>
          <w:tcPr>
            <w:tcW w:w="1945" w:type="dxa"/>
            <w:gridSpan w:val="2"/>
            <w:tcBorders>
              <w:left w:val="single" w:color="auto" w:sz="4" w:space="0"/>
              <w:right w:val="single" w:color="auto" w:sz="4" w:space="0"/>
            </w:tcBorders>
            <w:vAlign w:val="center"/>
          </w:tcPr>
          <w:p w14:paraId="514E3E6B">
            <w:pPr>
              <w:spacing w:line="360" w:lineRule="auto"/>
              <w:jc w:val="center"/>
              <w:rPr>
                <w:rFonts w:ascii="宋体" w:hAnsi="宋体" w:cs="宋体"/>
                <w:b/>
                <w:bCs/>
                <w:sz w:val="24"/>
              </w:rPr>
            </w:pPr>
            <w:r>
              <w:rPr>
                <w:rFonts w:hint="eastAsia"/>
                <w:szCs w:val="21"/>
              </w:rPr>
              <w:t>医保支付与病案质控智能管理系统</w:t>
            </w:r>
            <w:r>
              <w:rPr>
                <w:rFonts w:hint="eastAsia" w:ascii="宋体" w:hAnsi="宋体" w:cs="宋体"/>
                <w:sz w:val="24"/>
              </w:rPr>
              <w:t>管理指标分析</w:t>
            </w:r>
          </w:p>
        </w:tc>
        <w:tc>
          <w:tcPr>
            <w:tcW w:w="4988" w:type="dxa"/>
            <w:gridSpan w:val="2"/>
            <w:tcBorders>
              <w:top w:val="single" w:color="auto" w:sz="4" w:space="0"/>
              <w:left w:val="single" w:color="auto" w:sz="4" w:space="0"/>
              <w:bottom w:val="single" w:color="auto" w:sz="4" w:space="0"/>
              <w:right w:val="single" w:color="auto" w:sz="4" w:space="0"/>
            </w:tcBorders>
            <w:vAlign w:val="center"/>
          </w:tcPr>
          <w:p w14:paraId="37C2636A">
            <w:pPr>
              <w:spacing w:line="360" w:lineRule="auto"/>
              <w:jc w:val="left"/>
              <w:rPr>
                <w:rFonts w:ascii="宋体" w:hAnsi="宋体" w:cs="宋体"/>
                <w:sz w:val="24"/>
              </w:rPr>
            </w:pPr>
            <w:r>
              <w:rPr>
                <w:rFonts w:hint="eastAsia" w:ascii="宋体" w:hAnsi="宋体" w:cs="宋体"/>
                <w:sz w:val="24"/>
              </w:rPr>
              <w:t>支持按月份维度筛选数据集，聚合展示诊疗行为指标、病历书写时效指标、重大检查符合性指标、病历归档质量指标、人力资源配置指标，同步纳入医保支付相关质控指标，输出多维度数据研判结果。各项指标依据既定指标口径与规范，划分“符合”“不符合”判定维度；内置病历溯源能力，可一键定位至对应病案，辅助穿透追溯问题根源，识别影响医保结算、DIP入组的病案质量风险。模块配套完整的指标定义文档，清晰阐释统计规则、计算口径，便于质控、医保管理人员开展常态化监测、复盘分析，实现病案质量管控与医保支付风险前置预警一体化管理。</w:t>
            </w:r>
          </w:p>
        </w:tc>
        <w:tc>
          <w:tcPr>
            <w:tcW w:w="825" w:type="dxa"/>
            <w:tcBorders>
              <w:left w:val="single" w:color="auto" w:sz="4" w:space="0"/>
              <w:right w:val="single" w:color="auto" w:sz="4" w:space="0"/>
            </w:tcBorders>
            <w:vAlign w:val="center"/>
          </w:tcPr>
          <w:p w14:paraId="39803617">
            <w:pPr>
              <w:spacing w:line="360" w:lineRule="auto"/>
              <w:jc w:val="center"/>
              <w:rPr>
                <w:rFonts w:ascii="宋体" w:hAnsi="宋体" w:cs="宋体"/>
                <w:color w:val="000000"/>
                <w:kern w:val="0"/>
                <w:sz w:val="24"/>
              </w:rPr>
            </w:pPr>
          </w:p>
        </w:tc>
      </w:tr>
      <w:tr w14:paraId="4C60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3DDCB29A">
            <w:pPr>
              <w:spacing w:line="360" w:lineRule="auto"/>
              <w:jc w:val="center"/>
              <w:rPr>
                <w:rFonts w:ascii="宋体" w:hAnsi="宋体" w:cs="宋体"/>
                <w:b/>
                <w:bCs/>
                <w:sz w:val="24"/>
              </w:rPr>
            </w:pPr>
            <w:r>
              <w:rPr>
                <w:rFonts w:hint="eastAsia" w:ascii="宋体" w:hAnsi="宋体" w:cs="宋体"/>
                <w:b/>
                <w:bCs/>
                <w:sz w:val="24"/>
              </w:rPr>
              <w:t>9</w:t>
            </w:r>
          </w:p>
        </w:tc>
        <w:tc>
          <w:tcPr>
            <w:tcW w:w="1945" w:type="dxa"/>
            <w:gridSpan w:val="2"/>
            <w:tcBorders>
              <w:left w:val="single" w:color="auto" w:sz="4" w:space="0"/>
              <w:bottom w:val="single" w:color="auto" w:sz="4" w:space="0"/>
              <w:right w:val="single" w:color="auto" w:sz="4" w:space="0"/>
            </w:tcBorders>
            <w:vAlign w:val="center"/>
          </w:tcPr>
          <w:p w14:paraId="654D309E">
            <w:pPr>
              <w:spacing w:line="360" w:lineRule="auto"/>
              <w:jc w:val="center"/>
              <w:rPr>
                <w:rFonts w:ascii="宋体" w:hAnsi="宋体" w:cs="宋体"/>
                <w:sz w:val="24"/>
              </w:rPr>
            </w:pPr>
            <w:r>
              <w:rPr>
                <w:rFonts w:hint="eastAsia" w:ascii="宋体" w:hAnsi="宋体" w:cs="宋体"/>
                <w:sz w:val="24"/>
              </w:rPr>
              <w:t>医疗核心制度指标分析</w:t>
            </w:r>
          </w:p>
        </w:tc>
        <w:tc>
          <w:tcPr>
            <w:tcW w:w="4988" w:type="dxa"/>
            <w:gridSpan w:val="2"/>
            <w:tcBorders>
              <w:top w:val="single" w:color="auto" w:sz="4" w:space="0"/>
              <w:left w:val="single" w:color="auto" w:sz="4" w:space="0"/>
              <w:bottom w:val="single" w:color="auto" w:sz="4" w:space="0"/>
              <w:right w:val="single" w:color="auto" w:sz="4" w:space="0"/>
            </w:tcBorders>
            <w:vAlign w:val="center"/>
          </w:tcPr>
          <w:p w14:paraId="05D264AE">
            <w:pPr>
              <w:spacing w:line="360" w:lineRule="auto"/>
              <w:jc w:val="left"/>
              <w:rPr>
                <w:rFonts w:ascii="宋体" w:hAnsi="宋体" w:cs="宋体"/>
                <w:sz w:val="24"/>
              </w:rPr>
            </w:pPr>
            <w:r>
              <w:rPr>
                <w:rFonts w:hint="eastAsia" w:ascii="宋体" w:hAnsi="宋体" w:cs="宋体"/>
                <w:sz w:val="24"/>
              </w:rPr>
              <w:t>支持按月度筛选数据，针对医疗核心制度落实情况进行量化分析，覆盖18项医疗核心制度管理指标，明确数据各指标分子、分母的明细数据，支持通过 “病历溯源” 功能定位具体病历，辅助追溯问题来源。</w:t>
            </w:r>
          </w:p>
        </w:tc>
        <w:tc>
          <w:tcPr>
            <w:tcW w:w="825" w:type="dxa"/>
            <w:tcBorders>
              <w:left w:val="single" w:color="auto" w:sz="4" w:space="0"/>
              <w:bottom w:val="single" w:color="auto" w:sz="4" w:space="0"/>
              <w:right w:val="single" w:color="auto" w:sz="4" w:space="0"/>
            </w:tcBorders>
            <w:vAlign w:val="center"/>
          </w:tcPr>
          <w:p w14:paraId="0AA750E3">
            <w:pPr>
              <w:spacing w:line="360" w:lineRule="auto"/>
              <w:jc w:val="center"/>
              <w:rPr>
                <w:rFonts w:ascii="宋体" w:hAnsi="宋体" w:cs="宋体"/>
                <w:color w:val="000000"/>
                <w:kern w:val="0"/>
                <w:sz w:val="24"/>
              </w:rPr>
            </w:pPr>
          </w:p>
        </w:tc>
      </w:tr>
      <w:tr w14:paraId="49C6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EA397DF">
            <w:pPr>
              <w:spacing w:line="360" w:lineRule="auto"/>
              <w:jc w:val="center"/>
              <w:rPr>
                <w:rFonts w:ascii="宋体" w:hAnsi="宋体" w:cs="宋体"/>
                <w:b/>
                <w:bCs/>
                <w:sz w:val="24"/>
              </w:rPr>
            </w:pPr>
            <w:r>
              <w:rPr>
                <w:rFonts w:hint="eastAsia" w:ascii="宋体" w:hAnsi="宋体" w:cs="宋体"/>
                <w:b/>
                <w:bCs/>
                <w:sz w:val="24"/>
              </w:rPr>
              <w:t>10</w:t>
            </w:r>
          </w:p>
        </w:tc>
        <w:tc>
          <w:tcPr>
            <w:tcW w:w="1945" w:type="dxa"/>
            <w:gridSpan w:val="2"/>
            <w:tcBorders>
              <w:left w:val="single" w:color="auto" w:sz="4" w:space="0"/>
              <w:bottom w:val="single" w:color="auto" w:sz="4" w:space="0"/>
              <w:right w:val="single" w:color="auto" w:sz="4" w:space="0"/>
            </w:tcBorders>
            <w:vAlign w:val="center"/>
          </w:tcPr>
          <w:p w14:paraId="7D5EB51F">
            <w:pPr>
              <w:spacing w:line="360" w:lineRule="auto"/>
              <w:jc w:val="center"/>
              <w:rPr>
                <w:rFonts w:ascii="宋体" w:hAnsi="宋体" w:cs="宋体"/>
                <w:sz w:val="24"/>
              </w:rPr>
            </w:pPr>
            <w:r>
              <w:rPr>
                <w:rFonts w:hint="eastAsia"/>
                <w:szCs w:val="21"/>
              </w:rPr>
              <w:t>医保支付与病案质控智能管理系统</w:t>
            </w:r>
            <w:r>
              <w:rPr>
                <w:rFonts w:hint="eastAsia" w:ascii="宋体" w:hAnsi="宋体" w:cs="宋体"/>
                <w:sz w:val="24"/>
              </w:rPr>
              <w:t>后台管理</w:t>
            </w:r>
          </w:p>
        </w:tc>
        <w:tc>
          <w:tcPr>
            <w:tcW w:w="4988" w:type="dxa"/>
            <w:gridSpan w:val="2"/>
            <w:tcBorders>
              <w:top w:val="single" w:color="auto" w:sz="4" w:space="0"/>
              <w:left w:val="single" w:color="auto" w:sz="4" w:space="0"/>
              <w:bottom w:val="single" w:color="auto" w:sz="4" w:space="0"/>
              <w:right w:val="single" w:color="auto" w:sz="4" w:space="0"/>
            </w:tcBorders>
            <w:vAlign w:val="center"/>
          </w:tcPr>
          <w:p w14:paraId="3735F219">
            <w:pPr>
              <w:spacing w:line="360" w:lineRule="auto"/>
              <w:jc w:val="left"/>
              <w:rPr>
                <w:rFonts w:ascii="宋体" w:hAnsi="宋体" w:cs="宋体"/>
                <w:sz w:val="24"/>
              </w:rPr>
            </w:pPr>
            <w:r>
              <w:rPr>
                <w:rFonts w:hint="eastAsia" w:ascii="宋体" w:hAnsi="宋体" w:cs="宋体"/>
                <w:sz w:val="24"/>
              </w:rPr>
              <w:t>系统支持病历评分表全流程管理，可自定义评分规则、评级标准与单项否决逻辑，适配不同质控场景。内置机器规则中心，覆盖全维度文书质控点，支持规则启用停用与精细化配置，支持国家、省、市最新编码转换更新及最新医保支付分组方案更新和匹配。</w:t>
            </w:r>
            <w:r>
              <w:rPr>
                <w:rFonts w:hint="eastAsia" w:ascii="宋体" w:hAnsi="宋体" w:cs="宋体"/>
                <w:sz w:val="24"/>
              </w:rPr>
              <w:br w:type="page"/>
            </w:r>
          </w:p>
        </w:tc>
        <w:tc>
          <w:tcPr>
            <w:tcW w:w="825" w:type="dxa"/>
            <w:tcBorders>
              <w:left w:val="single" w:color="auto" w:sz="4" w:space="0"/>
              <w:bottom w:val="single" w:color="auto" w:sz="4" w:space="0"/>
              <w:right w:val="single" w:color="auto" w:sz="4" w:space="0"/>
            </w:tcBorders>
            <w:vAlign w:val="center"/>
          </w:tcPr>
          <w:p w14:paraId="2855AD85">
            <w:pPr>
              <w:spacing w:line="360" w:lineRule="auto"/>
              <w:jc w:val="center"/>
              <w:rPr>
                <w:rFonts w:ascii="宋体" w:hAnsi="宋体" w:cs="宋体"/>
                <w:color w:val="000000"/>
                <w:kern w:val="0"/>
                <w:sz w:val="24"/>
              </w:rPr>
            </w:pPr>
          </w:p>
        </w:tc>
      </w:tr>
      <w:tr w14:paraId="35678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45" w:type="dxa"/>
          <w:cantSplit/>
          <w:trHeight w:val="978" w:hRule="atLeast"/>
          <w:jc w:val="center"/>
        </w:trPr>
        <w:tc>
          <w:tcPr>
            <w:tcW w:w="868" w:type="dxa"/>
            <w:tcBorders>
              <w:top w:val="single" w:color="auto" w:sz="4" w:space="0"/>
              <w:left w:val="nil"/>
              <w:bottom w:val="nil"/>
              <w:right w:val="nil"/>
            </w:tcBorders>
            <w:vAlign w:val="center"/>
          </w:tcPr>
          <w:p w14:paraId="23661199">
            <w:pPr>
              <w:spacing w:line="360" w:lineRule="auto"/>
              <w:jc w:val="center"/>
              <w:rPr>
                <w:rFonts w:ascii="宋体" w:hAnsi="宋体" w:cs="宋体"/>
                <w:b/>
                <w:bCs/>
                <w:sz w:val="24"/>
              </w:rPr>
            </w:pPr>
          </w:p>
          <w:p w14:paraId="17437767">
            <w:pPr>
              <w:spacing w:line="360" w:lineRule="auto"/>
              <w:jc w:val="center"/>
              <w:rPr>
                <w:rFonts w:ascii="宋体" w:hAnsi="宋体" w:cs="宋体"/>
                <w:b/>
                <w:bCs/>
                <w:sz w:val="24"/>
              </w:rPr>
            </w:pPr>
          </w:p>
        </w:tc>
        <w:tc>
          <w:tcPr>
            <w:tcW w:w="1945" w:type="dxa"/>
            <w:gridSpan w:val="2"/>
            <w:tcBorders>
              <w:top w:val="single" w:color="auto" w:sz="4" w:space="0"/>
              <w:left w:val="nil"/>
              <w:bottom w:val="nil"/>
              <w:right w:val="nil"/>
            </w:tcBorders>
            <w:vAlign w:val="center"/>
          </w:tcPr>
          <w:p w14:paraId="68F0D7B4">
            <w:pPr>
              <w:spacing w:line="360" w:lineRule="auto"/>
              <w:jc w:val="center"/>
              <w:rPr>
                <w:szCs w:val="21"/>
              </w:rPr>
            </w:pPr>
          </w:p>
        </w:tc>
        <w:tc>
          <w:tcPr>
            <w:tcW w:w="4988" w:type="dxa"/>
            <w:gridSpan w:val="2"/>
            <w:tcBorders>
              <w:top w:val="single" w:color="auto" w:sz="4" w:space="0"/>
              <w:left w:val="nil"/>
              <w:bottom w:val="nil"/>
              <w:right w:val="nil"/>
            </w:tcBorders>
            <w:vAlign w:val="center"/>
          </w:tcPr>
          <w:p w14:paraId="2E782D5D">
            <w:pPr>
              <w:pStyle w:val="2"/>
              <w:spacing w:before="156" w:beforeLines="50" w:after="156" w:afterLines="50"/>
              <w:ind w:firstLine="562" w:firstLineChars="200"/>
              <w:rPr>
                <w:sz w:val="28"/>
                <w:szCs w:val="28"/>
              </w:rPr>
            </w:pPr>
            <w:r>
              <w:rPr>
                <w:rFonts w:hint="eastAsia"/>
                <w:sz w:val="28"/>
                <w:szCs w:val="28"/>
              </w:rPr>
              <w:t>三、商务要求</w:t>
            </w:r>
          </w:p>
        </w:tc>
        <w:tc>
          <w:tcPr>
            <w:tcW w:w="825" w:type="dxa"/>
            <w:tcBorders>
              <w:top w:val="single" w:color="auto" w:sz="4" w:space="0"/>
              <w:left w:val="nil"/>
              <w:bottom w:val="nil"/>
              <w:right w:val="nil"/>
            </w:tcBorders>
            <w:vAlign w:val="center"/>
          </w:tcPr>
          <w:p w14:paraId="1F5ACC95">
            <w:pPr>
              <w:spacing w:line="360" w:lineRule="auto"/>
              <w:jc w:val="center"/>
              <w:rPr>
                <w:rFonts w:ascii="宋体" w:hAnsi="宋体" w:cs="宋体"/>
                <w:color w:val="000000"/>
                <w:kern w:val="0"/>
                <w:sz w:val="24"/>
              </w:rPr>
            </w:pPr>
          </w:p>
        </w:tc>
      </w:tr>
      <w:tr w14:paraId="65BED6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44" w:type="dxa"/>
            <w:gridSpan w:val="2"/>
            <w:tcBorders>
              <w:tl2br w:val="nil"/>
              <w:tr2bl w:val="nil"/>
            </w:tcBorders>
            <w:vAlign w:val="center"/>
          </w:tcPr>
          <w:p w14:paraId="067B7358">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序号</w:t>
            </w:r>
          </w:p>
        </w:tc>
        <w:tc>
          <w:tcPr>
            <w:tcW w:w="1728" w:type="dxa"/>
            <w:gridSpan w:val="2"/>
            <w:tcBorders>
              <w:tl2br w:val="nil"/>
              <w:tr2bl w:val="nil"/>
            </w:tcBorders>
            <w:vAlign w:val="center"/>
          </w:tcPr>
          <w:p w14:paraId="48A40289">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目录</w:t>
            </w:r>
          </w:p>
        </w:tc>
        <w:tc>
          <w:tcPr>
            <w:tcW w:w="5999" w:type="dxa"/>
            <w:gridSpan w:val="3"/>
            <w:tcBorders>
              <w:tl2br w:val="nil"/>
              <w:tr2bl w:val="nil"/>
            </w:tcBorders>
            <w:vAlign w:val="center"/>
          </w:tcPr>
          <w:p w14:paraId="521BA25B">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商务需求</w:t>
            </w:r>
          </w:p>
        </w:tc>
      </w:tr>
      <w:tr w14:paraId="5C6EB8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9071" w:type="dxa"/>
            <w:gridSpan w:val="7"/>
            <w:tcBorders>
              <w:tl2br w:val="nil"/>
              <w:tr2bl w:val="nil"/>
            </w:tcBorders>
          </w:tcPr>
          <w:p w14:paraId="0F663AA8">
            <w:pP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（一）免费保修期内售后服务要求</w:t>
            </w:r>
          </w:p>
        </w:tc>
      </w:tr>
      <w:tr w14:paraId="79835D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4" w:type="dxa"/>
            <w:gridSpan w:val="2"/>
            <w:vMerge w:val="restart"/>
            <w:tcBorders>
              <w:tl2br w:val="nil"/>
              <w:tr2bl w:val="nil"/>
            </w:tcBorders>
            <w:vAlign w:val="center"/>
          </w:tcPr>
          <w:p w14:paraId="18777AE5">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1</w:t>
            </w:r>
          </w:p>
        </w:tc>
        <w:tc>
          <w:tcPr>
            <w:tcW w:w="1728" w:type="dxa"/>
            <w:gridSpan w:val="2"/>
            <w:vMerge w:val="restart"/>
            <w:tcBorders>
              <w:tl2br w:val="nil"/>
              <w:tr2bl w:val="nil"/>
            </w:tcBorders>
            <w:vAlign w:val="center"/>
          </w:tcPr>
          <w:p w14:paraId="1403CEE8">
            <w:pPr>
              <w:rPr>
                <w:rFonts w:asciiTheme="minorEastAsia" w:hAnsiTheme="minorEastAsia" w:eastAsiaTheme="minorEastAsia" w:cstheme="minorEastAsia"/>
                <w:szCs w:val="21"/>
              </w:rPr>
            </w:pPr>
            <w:r>
              <w:rPr>
                <w:rFonts w:hint="eastAsia" w:asciiTheme="minorEastAsia" w:hAnsiTheme="minorEastAsia" w:eastAsiaTheme="minorEastAsia" w:cstheme="minorEastAsia"/>
                <w:b/>
                <w:kern w:val="0"/>
                <w:szCs w:val="21"/>
              </w:rPr>
              <w:t>维修及维护服务</w:t>
            </w:r>
          </w:p>
        </w:tc>
        <w:tc>
          <w:tcPr>
            <w:tcW w:w="5999" w:type="dxa"/>
            <w:gridSpan w:val="3"/>
            <w:tcBorders>
              <w:tl2br w:val="nil"/>
              <w:tr2bl w:val="nil"/>
            </w:tcBorders>
          </w:tcPr>
          <w:p w14:paraId="687506A3">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1.1免费保修期：软件系统服务质保期限为三年，时间自最终验收合格并交付使用之日起计算。中标人向采购人提供免费质保服务和技术支持。</w:t>
            </w:r>
          </w:p>
        </w:tc>
      </w:tr>
      <w:tr w14:paraId="05F79B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4" w:type="dxa"/>
            <w:gridSpan w:val="2"/>
            <w:vMerge w:val="continue"/>
            <w:tcBorders>
              <w:tl2br w:val="nil"/>
              <w:tr2bl w:val="nil"/>
            </w:tcBorders>
            <w:vAlign w:val="center"/>
          </w:tcPr>
          <w:p w14:paraId="397FBB4B">
            <w:pPr>
              <w:jc w:val="center"/>
              <w:rPr>
                <w:rFonts w:asciiTheme="minorEastAsia" w:hAnsiTheme="minorEastAsia" w:eastAsiaTheme="minorEastAsia" w:cstheme="minorEastAsia"/>
                <w:b/>
                <w:szCs w:val="21"/>
              </w:rPr>
            </w:pPr>
          </w:p>
        </w:tc>
        <w:tc>
          <w:tcPr>
            <w:tcW w:w="1728" w:type="dxa"/>
            <w:gridSpan w:val="2"/>
            <w:vMerge w:val="continue"/>
            <w:tcBorders>
              <w:tl2br w:val="nil"/>
              <w:tr2bl w:val="nil"/>
            </w:tcBorders>
            <w:vAlign w:val="center"/>
          </w:tcPr>
          <w:p w14:paraId="58BE54BB">
            <w:pPr>
              <w:rPr>
                <w:rFonts w:asciiTheme="minorEastAsia" w:hAnsiTheme="minorEastAsia" w:eastAsiaTheme="minorEastAsia" w:cstheme="minorEastAsia"/>
                <w:b/>
                <w:kern w:val="0"/>
                <w:szCs w:val="21"/>
              </w:rPr>
            </w:pPr>
          </w:p>
        </w:tc>
        <w:tc>
          <w:tcPr>
            <w:tcW w:w="5999" w:type="dxa"/>
            <w:gridSpan w:val="3"/>
            <w:tcBorders>
              <w:tl2br w:val="nil"/>
              <w:tr2bl w:val="nil"/>
            </w:tcBorders>
          </w:tcPr>
          <w:p w14:paraId="2A8CF295">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1.2免费保修期内，供应商应至少保证一名人员进行线上技术服务，完成技术服务相关工作，并保障系统正常运行。</w:t>
            </w:r>
          </w:p>
        </w:tc>
      </w:tr>
      <w:tr w14:paraId="3CD50D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344" w:type="dxa"/>
            <w:gridSpan w:val="2"/>
            <w:vMerge w:val="continue"/>
            <w:tcBorders>
              <w:tl2br w:val="nil"/>
              <w:tr2bl w:val="nil"/>
            </w:tcBorders>
            <w:vAlign w:val="center"/>
          </w:tcPr>
          <w:p w14:paraId="35A3BD02">
            <w:pPr>
              <w:jc w:val="center"/>
              <w:rPr>
                <w:rFonts w:asciiTheme="minorEastAsia" w:hAnsiTheme="minorEastAsia" w:eastAsiaTheme="minorEastAsia" w:cstheme="minorEastAsia"/>
                <w:b/>
                <w:szCs w:val="21"/>
              </w:rPr>
            </w:pPr>
          </w:p>
        </w:tc>
        <w:tc>
          <w:tcPr>
            <w:tcW w:w="1728" w:type="dxa"/>
            <w:gridSpan w:val="2"/>
            <w:vMerge w:val="continue"/>
            <w:tcBorders>
              <w:tl2br w:val="nil"/>
              <w:tr2bl w:val="nil"/>
            </w:tcBorders>
            <w:vAlign w:val="center"/>
          </w:tcPr>
          <w:p w14:paraId="4C77EF2A">
            <w:pPr>
              <w:rPr>
                <w:rFonts w:asciiTheme="minorEastAsia" w:hAnsiTheme="minorEastAsia" w:eastAsiaTheme="minorEastAsia" w:cstheme="minorEastAsia"/>
                <w:b/>
                <w:kern w:val="0"/>
                <w:szCs w:val="21"/>
              </w:rPr>
            </w:pPr>
          </w:p>
        </w:tc>
        <w:tc>
          <w:tcPr>
            <w:tcW w:w="5999" w:type="dxa"/>
            <w:gridSpan w:val="3"/>
            <w:tcBorders>
              <w:tl2br w:val="nil"/>
              <w:tr2bl w:val="nil"/>
            </w:tcBorders>
          </w:tcPr>
          <w:p w14:paraId="1B56843C">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1.3供应商应向采购人提供7*24小时的服务响应。免费保修期从系统最终验收之日起开始计算。针对本项目，供应商需提出完整而切实可行的服务方案，保证本项目涉及信息系统支持医院业务7*24小时不间断运行，保障医院正常工作。</w:t>
            </w:r>
          </w:p>
        </w:tc>
      </w:tr>
      <w:tr w14:paraId="0420D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9071" w:type="dxa"/>
            <w:gridSpan w:val="7"/>
            <w:tcBorders>
              <w:tl2br w:val="nil"/>
              <w:tr2bl w:val="nil"/>
            </w:tcBorders>
          </w:tcPr>
          <w:p w14:paraId="27249745">
            <w:pP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（二）其他商务要求</w:t>
            </w:r>
          </w:p>
        </w:tc>
      </w:tr>
      <w:tr w14:paraId="6AA34B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44" w:type="dxa"/>
            <w:gridSpan w:val="2"/>
            <w:vMerge w:val="restart"/>
            <w:tcBorders>
              <w:tl2br w:val="nil"/>
              <w:tr2bl w:val="nil"/>
            </w:tcBorders>
            <w:vAlign w:val="center"/>
          </w:tcPr>
          <w:p w14:paraId="5F9C32AA">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1</w:t>
            </w:r>
          </w:p>
        </w:tc>
        <w:tc>
          <w:tcPr>
            <w:tcW w:w="1728" w:type="dxa"/>
            <w:gridSpan w:val="2"/>
            <w:vMerge w:val="restart"/>
            <w:tcBorders>
              <w:tl2br w:val="nil"/>
              <w:tr2bl w:val="nil"/>
            </w:tcBorders>
            <w:vAlign w:val="center"/>
          </w:tcPr>
          <w:p w14:paraId="46E6D51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b/>
                <w:szCs w:val="21"/>
              </w:rPr>
              <w:t>交货要求</w:t>
            </w:r>
          </w:p>
        </w:tc>
        <w:tc>
          <w:tcPr>
            <w:tcW w:w="5999" w:type="dxa"/>
            <w:gridSpan w:val="3"/>
            <w:tcBorders>
              <w:tl2br w:val="nil"/>
              <w:tr2bl w:val="nil"/>
            </w:tcBorders>
          </w:tcPr>
          <w:p w14:paraId="63645BAE">
            <w:pPr>
              <w:snapToGrid w:val="0"/>
              <w:spacing w:line="500" w:lineRule="exact"/>
              <w:rPr>
                <w:rFonts w:asciiTheme="minorEastAsia" w:hAnsiTheme="minorEastAsia" w:eastAsiaTheme="minorEastAsia" w:cstheme="minorEastAsia"/>
                <w:b/>
                <w:bCs/>
                <w:spacing w:val="-3"/>
                <w:szCs w:val="21"/>
              </w:rPr>
            </w:pPr>
            <w:r>
              <w:rPr>
                <w:rFonts w:hint="eastAsia" w:asciiTheme="minorEastAsia" w:hAnsiTheme="minorEastAsia" w:eastAsiaTheme="minorEastAsia" w:cstheme="minorEastAsia"/>
                <w:spacing w:val="-3"/>
                <w:szCs w:val="21"/>
              </w:rPr>
              <w:t>1.1投标人所投设备在签订合同之日起</w:t>
            </w:r>
            <w:r>
              <w:rPr>
                <w:rFonts w:hint="eastAsia" w:ascii="宋体" w:hAnsi="宋体" w:cs="宋体"/>
                <w:sz w:val="24"/>
              </w:rPr>
              <w:t>1</w:t>
            </w:r>
            <w:r>
              <w:rPr>
                <w:rFonts w:ascii="宋体" w:hAnsi="宋体" w:cs="宋体"/>
                <w:sz w:val="24"/>
              </w:rPr>
              <w:t>80</w:t>
            </w:r>
            <w:r>
              <w:rPr>
                <w:rFonts w:hint="eastAsia" w:asciiTheme="minorEastAsia" w:hAnsiTheme="minorEastAsia" w:eastAsiaTheme="minorEastAsia" w:cstheme="minorEastAsia"/>
                <w:spacing w:val="-3"/>
                <w:szCs w:val="21"/>
              </w:rPr>
              <w:t>内完成系统功能上线。交货地址：中国医学科学院肿瘤医院深圳医院。(提供承诺函证明)</w:t>
            </w:r>
          </w:p>
        </w:tc>
      </w:tr>
      <w:tr w14:paraId="091137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344" w:type="dxa"/>
            <w:gridSpan w:val="2"/>
            <w:vMerge w:val="continue"/>
            <w:tcBorders>
              <w:tl2br w:val="nil"/>
              <w:tr2bl w:val="nil"/>
            </w:tcBorders>
            <w:vAlign w:val="center"/>
          </w:tcPr>
          <w:p w14:paraId="6F8F72DE">
            <w:pPr>
              <w:jc w:val="center"/>
              <w:rPr>
                <w:rFonts w:asciiTheme="minorEastAsia" w:hAnsiTheme="minorEastAsia" w:eastAsiaTheme="minorEastAsia" w:cstheme="minorEastAsia"/>
                <w:b/>
                <w:szCs w:val="21"/>
              </w:rPr>
            </w:pPr>
          </w:p>
        </w:tc>
        <w:tc>
          <w:tcPr>
            <w:tcW w:w="1728" w:type="dxa"/>
            <w:gridSpan w:val="2"/>
            <w:vMerge w:val="continue"/>
            <w:tcBorders>
              <w:tl2br w:val="nil"/>
              <w:tr2bl w:val="nil"/>
            </w:tcBorders>
            <w:vAlign w:val="center"/>
          </w:tcPr>
          <w:p w14:paraId="26BFC320">
            <w:pPr>
              <w:jc w:val="center"/>
              <w:rPr>
                <w:rFonts w:asciiTheme="minorEastAsia" w:hAnsiTheme="minorEastAsia" w:eastAsiaTheme="minorEastAsia" w:cstheme="minorEastAsia"/>
                <w:szCs w:val="21"/>
              </w:rPr>
            </w:pPr>
          </w:p>
        </w:tc>
        <w:tc>
          <w:tcPr>
            <w:tcW w:w="5999" w:type="dxa"/>
            <w:gridSpan w:val="3"/>
            <w:tcBorders>
              <w:tl2br w:val="nil"/>
              <w:tr2bl w:val="nil"/>
            </w:tcBorders>
          </w:tcPr>
          <w:p w14:paraId="5408EA31">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1.2符合国家颁布的各种法律法规，符合各级卫健委对医院信息化的相关要求</w:t>
            </w:r>
          </w:p>
        </w:tc>
      </w:tr>
      <w:tr w14:paraId="037FC6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344" w:type="dxa"/>
            <w:gridSpan w:val="2"/>
            <w:vMerge w:val="restart"/>
            <w:tcBorders>
              <w:tl2br w:val="nil"/>
              <w:tr2bl w:val="nil"/>
            </w:tcBorders>
            <w:vAlign w:val="center"/>
          </w:tcPr>
          <w:p w14:paraId="582AB488">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2</w:t>
            </w:r>
          </w:p>
        </w:tc>
        <w:tc>
          <w:tcPr>
            <w:tcW w:w="1728" w:type="dxa"/>
            <w:gridSpan w:val="2"/>
            <w:vMerge w:val="restart"/>
            <w:tcBorders>
              <w:tl2br w:val="nil"/>
              <w:tr2bl w:val="nil"/>
            </w:tcBorders>
            <w:vAlign w:val="center"/>
          </w:tcPr>
          <w:p w14:paraId="103E2FF9">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验收要求</w:t>
            </w:r>
          </w:p>
        </w:tc>
        <w:tc>
          <w:tcPr>
            <w:tcW w:w="5999" w:type="dxa"/>
            <w:gridSpan w:val="3"/>
            <w:tcBorders>
              <w:tl2br w:val="nil"/>
              <w:tr2bl w:val="nil"/>
            </w:tcBorders>
          </w:tcPr>
          <w:p w14:paraId="6994596A">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2.1由投标人代表和采购人组成验收小组对产品进行验收。验收标准按照招投标要求及国家规定标准执行。经检验系统正常运作后签署验收报告,产品保修期自性能验收合格之日起算。</w:t>
            </w:r>
          </w:p>
          <w:p w14:paraId="32B28226">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关于验收：</w:t>
            </w:r>
          </w:p>
          <w:p w14:paraId="1C6693FA">
            <w:pPr>
              <w:numPr>
                <w:ilvl w:val="0"/>
                <w:numId w:val="2"/>
              </w:numPr>
              <w:snapToGrid w:val="0"/>
              <w:spacing w:line="500" w:lineRule="exact"/>
              <w:rPr>
                <w:szCs w:val="20"/>
              </w:rPr>
            </w:pPr>
            <w:r>
              <w:rPr>
                <w:rFonts w:hint="eastAsia" w:asciiTheme="minorEastAsia" w:hAnsiTheme="minorEastAsia" w:eastAsiaTheme="minorEastAsia" w:cstheme="minorEastAsia"/>
                <w:spacing w:val="-3"/>
                <w:szCs w:val="21"/>
              </w:rPr>
              <w:t>投标人产品服务经过甲方检验认可后，签署验收报告，免费保修期自验收合格之日起算，由投标人提供产品保修文件。</w:t>
            </w:r>
          </w:p>
          <w:p w14:paraId="1F071B8B">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（2）中标人已按照合同规定提供了全部产品及完整的技术资料。</w:t>
            </w:r>
          </w:p>
          <w:p w14:paraId="66D93070">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（3）</w:t>
            </w:r>
            <w:r>
              <w:rPr>
                <w:rFonts w:hint="eastAsia" w:ascii="宋体" w:hAnsi="宋体" w:cs="宋体"/>
                <w:szCs w:val="21"/>
              </w:rPr>
              <w:t>上线运行15天结束且通过甲方验收合格。</w:t>
            </w:r>
          </w:p>
        </w:tc>
      </w:tr>
      <w:tr w14:paraId="6BBA98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44" w:type="dxa"/>
            <w:gridSpan w:val="2"/>
            <w:vMerge w:val="continue"/>
            <w:tcBorders>
              <w:tl2br w:val="nil"/>
              <w:tr2bl w:val="nil"/>
            </w:tcBorders>
            <w:vAlign w:val="center"/>
          </w:tcPr>
          <w:p w14:paraId="3F921C96">
            <w:pPr>
              <w:jc w:val="center"/>
              <w:rPr>
                <w:rFonts w:asciiTheme="minorEastAsia" w:hAnsiTheme="minorEastAsia" w:eastAsiaTheme="minorEastAsia" w:cstheme="minorEastAsia"/>
                <w:b/>
                <w:szCs w:val="21"/>
              </w:rPr>
            </w:pPr>
          </w:p>
        </w:tc>
        <w:tc>
          <w:tcPr>
            <w:tcW w:w="1728" w:type="dxa"/>
            <w:gridSpan w:val="2"/>
            <w:vMerge w:val="continue"/>
            <w:tcBorders>
              <w:tl2br w:val="nil"/>
              <w:tr2bl w:val="nil"/>
            </w:tcBorders>
          </w:tcPr>
          <w:p w14:paraId="31E4DCEA">
            <w:pPr>
              <w:rPr>
                <w:rFonts w:asciiTheme="minorEastAsia" w:hAnsiTheme="minorEastAsia" w:eastAsiaTheme="minorEastAsia" w:cstheme="minorEastAsia"/>
                <w:b/>
                <w:szCs w:val="21"/>
              </w:rPr>
            </w:pPr>
          </w:p>
        </w:tc>
        <w:tc>
          <w:tcPr>
            <w:tcW w:w="5999" w:type="dxa"/>
            <w:gridSpan w:val="3"/>
            <w:tcBorders>
              <w:tl2br w:val="nil"/>
              <w:tr2bl w:val="nil"/>
            </w:tcBorders>
          </w:tcPr>
          <w:p w14:paraId="27D1E23D">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2.2服务团队负责本项目的具体实施工作，拟投入本项目的团队人员需不少于3人，投标人为本项目投入的服务团队至少包含1名项目负责人，需具备全面的技术技能，履行质量管理与技术管理监督职责。</w:t>
            </w:r>
          </w:p>
        </w:tc>
      </w:tr>
      <w:tr w14:paraId="53EE61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344" w:type="dxa"/>
            <w:gridSpan w:val="2"/>
            <w:tcBorders>
              <w:tl2br w:val="nil"/>
              <w:tr2bl w:val="nil"/>
            </w:tcBorders>
            <w:vAlign w:val="center"/>
          </w:tcPr>
          <w:p w14:paraId="2F6DCD4A">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3</w:t>
            </w:r>
          </w:p>
        </w:tc>
        <w:tc>
          <w:tcPr>
            <w:tcW w:w="1728" w:type="dxa"/>
            <w:gridSpan w:val="2"/>
            <w:tcBorders>
              <w:tl2br w:val="nil"/>
              <w:tr2bl w:val="nil"/>
            </w:tcBorders>
            <w:vAlign w:val="center"/>
          </w:tcPr>
          <w:p w14:paraId="2C4D0814">
            <w:pPr>
              <w:jc w:val="center"/>
              <w:rPr>
                <w:rFonts w:asciiTheme="minorEastAsia" w:hAnsiTheme="minorEastAsia" w:eastAsiaTheme="minorEastAsia" w:cstheme="minorEastAsia"/>
                <w:b/>
                <w:szCs w:val="21"/>
              </w:rPr>
            </w:pPr>
            <w:r>
              <w:rPr>
                <w:rFonts w:hint="eastAsia" w:asciiTheme="minorEastAsia" w:hAnsiTheme="minorEastAsia" w:eastAsiaTheme="minorEastAsia" w:cstheme="minorEastAsia"/>
                <w:b/>
                <w:kern w:val="0"/>
                <w:szCs w:val="21"/>
              </w:rPr>
              <w:t>培训</w:t>
            </w:r>
          </w:p>
        </w:tc>
        <w:tc>
          <w:tcPr>
            <w:tcW w:w="5999" w:type="dxa"/>
            <w:gridSpan w:val="3"/>
            <w:tcBorders>
              <w:tl2br w:val="nil"/>
              <w:tr2bl w:val="nil"/>
            </w:tcBorders>
          </w:tcPr>
          <w:p w14:paraId="32D06254">
            <w:pPr>
              <w:snapToGrid w:val="0"/>
              <w:spacing w:line="500" w:lineRule="exact"/>
              <w:rPr>
                <w:rFonts w:asciiTheme="minorEastAsia" w:hAnsiTheme="minorEastAsia" w:eastAsiaTheme="minorEastAsia" w:cstheme="minorEastAsia"/>
                <w:b/>
                <w:szCs w:val="21"/>
              </w:rPr>
            </w:pPr>
            <w:r>
              <w:rPr>
                <w:rFonts w:hint="eastAsia" w:ascii="宋体" w:hAnsi="宋体" w:cs="宋体"/>
                <w:szCs w:val="21"/>
              </w:rPr>
              <w:t>3.1投标人应针对系统特点、人员状况等，制订可行的培训计划和实施方案、提供全方位多层次的培训服务，在项目不同建设时期，针对不同种类的需求提供一系列行之有效的培训实施方案。通过培训使系统管理员和用户掌握相关的管理和技术技能，确保系统建设稳步推进，建成后安全、稳定、高效的运行。培训计划和实施方案包括培训对象、形式、内容、讲师安排等。</w:t>
            </w:r>
          </w:p>
        </w:tc>
      </w:tr>
      <w:tr w14:paraId="3723CF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4" w:type="dxa"/>
            <w:gridSpan w:val="2"/>
            <w:vMerge w:val="restart"/>
            <w:tcBorders>
              <w:tl2br w:val="nil"/>
              <w:tr2bl w:val="nil"/>
            </w:tcBorders>
            <w:vAlign w:val="center"/>
          </w:tcPr>
          <w:p w14:paraId="59E21006">
            <w:pPr>
              <w:jc w:val="center"/>
              <w:rPr>
                <w:rFonts w:hint="eastAsia" w:asciiTheme="minorEastAsia" w:hAnsiTheme="minorEastAsia" w:eastAsiaTheme="minorEastAsia" w:cstheme="minorEastAsia"/>
                <w:b/>
                <w:szCs w:val="21"/>
                <w:lang w:eastAsia="zh-CN"/>
              </w:rPr>
            </w:pPr>
            <w:r>
              <w:rPr>
                <w:rFonts w:hint="eastAsia" w:asciiTheme="minorEastAsia" w:hAnsiTheme="minorEastAsia" w:eastAsiaTheme="minorEastAsia" w:cstheme="minorEastAsia"/>
                <w:b/>
                <w:szCs w:val="21"/>
                <w:lang w:val="en-US" w:eastAsia="zh-CN"/>
              </w:rPr>
              <w:t>4</w:t>
            </w:r>
          </w:p>
        </w:tc>
        <w:tc>
          <w:tcPr>
            <w:tcW w:w="1728" w:type="dxa"/>
            <w:gridSpan w:val="2"/>
            <w:vMerge w:val="restart"/>
            <w:tcBorders>
              <w:tl2br w:val="nil"/>
              <w:tr2bl w:val="nil"/>
            </w:tcBorders>
            <w:vAlign w:val="center"/>
          </w:tcPr>
          <w:p w14:paraId="079E7C3B">
            <w:pPr>
              <w:jc w:val="center"/>
              <w:rPr>
                <w:rFonts w:asciiTheme="minorEastAsia" w:hAnsiTheme="minorEastAsia" w:eastAsiaTheme="minorEastAsia" w:cstheme="minorEastAsia"/>
                <w:b/>
                <w:bCs/>
                <w:kern w:val="0"/>
                <w:szCs w:val="21"/>
              </w:rPr>
            </w:pPr>
            <w:r>
              <w:rPr>
                <w:rFonts w:hint="eastAsia" w:asciiTheme="minorEastAsia" w:hAnsiTheme="minorEastAsia" w:eastAsiaTheme="minorEastAsia" w:cstheme="minorEastAsia"/>
                <w:b/>
                <w:bCs/>
                <w:kern w:val="0"/>
                <w:szCs w:val="21"/>
              </w:rPr>
              <w:t>违约责任</w:t>
            </w:r>
          </w:p>
        </w:tc>
        <w:tc>
          <w:tcPr>
            <w:tcW w:w="5999" w:type="dxa"/>
            <w:gridSpan w:val="3"/>
            <w:tcBorders>
              <w:tl2br w:val="nil"/>
              <w:tr2bl w:val="nil"/>
            </w:tcBorders>
          </w:tcPr>
          <w:p w14:paraId="31DC66ED">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lang w:val="en-US" w:eastAsia="zh-CN"/>
              </w:rPr>
              <w:t>4</w:t>
            </w:r>
            <w:r>
              <w:rPr>
                <w:rFonts w:hint="eastAsia" w:asciiTheme="minorEastAsia" w:hAnsiTheme="minorEastAsia" w:eastAsiaTheme="minorEastAsia" w:cstheme="minorEastAsia"/>
                <w:spacing w:val="-3"/>
                <w:szCs w:val="21"/>
              </w:rPr>
              <w:t>.1如投标人未按照投标文件中承诺的时间交货或提供服务，投标人应承担延期交货和延期服务的违约责任，并赔偿采购人因此造成的实际经济损失。实际经济损失超出履约保证金额，采购人有权终止合同，并保留追究投标人法律责任的权利。</w:t>
            </w:r>
          </w:p>
        </w:tc>
      </w:tr>
      <w:tr w14:paraId="78D8D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344" w:type="dxa"/>
            <w:gridSpan w:val="2"/>
            <w:vMerge w:val="continue"/>
            <w:tcBorders>
              <w:tl2br w:val="nil"/>
              <w:tr2bl w:val="nil"/>
            </w:tcBorders>
            <w:vAlign w:val="center"/>
          </w:tcPr>
          <w:p w14:paraId="46215EDB">
            <w:pPr>
              <w:jc w:val="center"/>
              <w:rPr>
                <w:rFonts w:asciiTheme="minorEastAsia" w:hAnsiTheme="minorEastAsia" w:eastAsiaTheme="minorEastAsia" w:cstheme="minorEastAsia"/>
                <w:b/>
                <w:szCs w:val="21"/>
              </w:rPr>
            </w:pPr>
          </w:p>
        </w:tc>
        <w:tc>
          <w:tcPr>
            <w:tcW w:w="1728" w:type="dxa"/>
            <w:gridSpan w:val="2"/>
            <w:vMerge w:val="continue"/>
            <w:tcBorders>
              <w:tl2br w:val="nil"/>
              <w:tr2bl w:val="nil"/>
            </w:tcBorders>
            <w:vAlign w:val="center"/>
          </w:tcPr>
          <w:p w14:paraId="363E9000">
            <w:pPr>
              <w:jc w:val="center"/>
              <w:rPr>
                <w:rFonts w:asciiTheme="minorEastAsia" w:hAnsiTheme="minorEastAsia" w:eastAsiaTheme="minorEastAsia" w:cstheme="minorEastAsia"/>
                <w:b/>
                <w:bCs/>
                <w:kern w:val="0"/>
                <w:szCs w:val="21"/>
              </w:rPr>
            </w:pPr>
          </w:p>
        </w:tc>
        <w:tc>
          <w:tcPr>
            <w:tcW w:w="5999" w:type="dxa"/>
            <w:gridSpan w:val="3"/>
            <w:tcBorders>
              <w:tl2br w:val="nil"/>
              <w:tr2bl w:val="nil"/>
            </w:tcBorders>
          </w:tcPr>
          <w:p w14:paraId="35012ADC">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lang w:val="en-US" w:eastAsia="zh-CN"/>
              </w:rPr>
              <w:t>4</w:t>
            </w:r>
            <w:r>
              <w:rPr>
                <w:rFonts w:hint="eastAsia" w:asciiTheme="minorEastAsia" w:hAnsiTheme="minorEastAsia" w:eastAsiaTheme="minorEastAsia" w:cstheme="minorEastAsia"/>
                <w:spacing w:val="-3"/>
                <w:szCs w:val="21"/>
              </w:rPr>
              <w:t>.2投标人所交技术参数等方面不能实质性满足招标文件要约的，采购人有权拒绝收货，投标人向采购人偿付项目中标金额2% 的违约金；造成严重后果的，根据《深圳经济特区政府采购条例》第五十七条第（二）款规定，由主管部门对中标人进行处罚。</w:t>
            </w:r>
          </w:p>
        </w:tc>
      </w:tr>
      <w:tr w14:paraId="65A61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344" w:type="dxa"/>
            <w:gridSpan w:val="2"/>
            <w:vMerge w:val="continue"/>
            <w:tcBorders>
              <w:tl2br w:val="nil"/>
              <w:tr2bl w:val="nil"/>
            </w:tcBorders>
            <w:vAlign w:val="center"/>
          </w:tcPr>
          <w:p w14:paraId="463A70CB">
            <w:pPr>
              <w:jc w:val="center"/>
              <w:rPr>
                <w:rFonts w:asciiTheme="minorEastAsia" w:hAnsiTheme="minorEastAsia" w:eastAsiaTheme="minorEastAsia" w:cstheme="minorEastAsia"/>
                <w:b/>
                <w:szCs w:val="21"/>
              </w:rPr>
            </w:pPr>
          </w:p>
        </w:tc>
        <w:tc>
          <w:tcPr>
            <w:tcW w:w="1728" w:type="dxa"/>
            <w:gridSpan w:val="2"/>
            <w:vMerge w:val="continue"/>
            <w:tcBorders>
              <w:tl2br w:val="nil"/>
              <w:tr2bl w:val="nil"/>
            </w:tcBorders>
            <w:vAlign w:val="center"/>
          </w:tcPr>
          <w:p w14:paraId="364114BD">
            <w:pPr>
              <w:jc w:val="center"/>
              <w:rPr>
                <w:rFonts w:asciiTheme="minorEastAsia" w:hAnsiTheme="minorEastAsia" w:eastAsiaTheme="minorEastAsia" w:cstheme="minorEastAsia"/>
                <w:b/>
                <w:bCs/>
                <w:kern w:val="0"/>
                <w:szCs w:val="21"/>
              </w:rPr>
            </w:pPr>
          </w:p>
        </w:tc>
        <w:tc>
          <w:tcPr>
            <w:tcW w:w="5999" w:type="dxa"/>
            <w:gridSpan w:val="3"/>
            <w:tcBorders>
              <w:tl2br w:val="nil"/>
              <w:tr2bl w:val="nil"/>
            </w:tcBorders>
          </w:tcPr>
          <w:p w14:paraId="340AA8DD">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lang w:val="en-US" w:eastAsia="zh-CN"/>
              </w:rPr>
              <w:t>4</w:t>
            </w:r>
            <w:r>
              <w:rPr>
                <w:rFonts w:hint="eastAsia" w:asciiTheme="minorEastAsia" w:hAnsiTheme="minorEastAsia" w:eastAsiaTheme="minorEastAsia" w:cstheme="minorEastAsia"/>
                <w:spacing w:val="-3"/>
                <w:szCs w:val="21"/>
              </w:rPr>
              <w:t>.3投标人不能交付项目的，投标人向采购人偿付项目中标金额2%的违约金；造成严重后果的，根据《深圳经济特区政府采购条例》第五十七条第（二）款规定，由主管部门对中标人进行处罚。</w:t>
            </w:r>
          </w:p>
        </w:tc>
      </w:tr>
      <w:tr w14:paraId="567941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4" w:type="dxa"/>
            <w:gridSpan w:val="2"/>
            <w:vMerge w:val="continue"/>
            <w:tcBorders>
              <w:tl2br w:val="nil"/>
              <w:tr2bl w:val="nil"/>
            </w:tcBorders>
            <w:vAlign w:val="center"/>
          </w:tcPr>
          <w:p w14:paraId="605045C7">
            <w:pPr>
              <w:jc w:val="center"/>
              <w:rPr>
                <w:rFonts w:asciiTheme="minorEastAsia" w:hAnsiTheme="minorEastAsia" w:eastAsiaTheme="minorEastAsia" w:cstheme="minorEastAsia"/>
                <w:b/>
                <w:szCs w:val="21"/>
              </w:rPr>
            </w:pPr>
          </w:p>
        </w:tc>
        <w:tc>
          <w:tcPr>
            <w:tcW w:w="1728" w:type="dxa"/>
            <w:gridSpan w:val="2"/>
            <w:vMerge w:val="continue"/>
            <w:tcBorders>
              <w:tl2br w:val="nil"/>
              <w:tr2bl w:val="nil"/>
            </w:tcBorders>
            <w:vAlign w:val="center"/>
          </w:tcPr>
          <w:p w14:paraId="20F5AFF4">
            <w:pPr>
              <w:jc w:val="center"/>
              <w:rPr>
                <w:rFonts w:asciiTheme="minorEastAsia" w:hAnsiTheme="minorEastAsia" w:eastAsiaTheme="minorEastAsia" w:cstheme="minorEastAsia"/>
                <w:b/>
                <w:bCs/>
                <w:kern w:val="0"/>
                <w:szCs w:val="21"/>
              </w:rPr>
            </w:pPr>
          </w:p>
        </w:tc>
        <w:tc>
          <w:tcPr>
            <w:tcW w:w="5999" w:type="dxa"/>
            <w:gridSpan w:val="3"/>
            <w:tcBorders>
              <w:tl2br w:val="nil"/>
              <w:tr2bl w:val="nil"/>
            </w:tcBorders>
          </w:tcPr>
          <w:p w14:paraId="4DCD6BEA">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lang w:val="en-US" w:eastAsia="zh-CN"/>
              </w:rPr>
              <w:t>4</w:t>
            </w:r>
            <w:r>
              <w:rPr>
                <w:rFonts w:hint="eastAsia" w:asciiTheme="minorEastAsia" w:hAnsiTheme="minorEastAsia" w:eastAsiaTheme="minorEastAsia" w:cstheme="minorEastAsia"/>
                <w:spacing w:val="-3"/>
                <w:szCs w:val="21"/>
              </w:rPr>
              <w:t>.4因投标人原因出现逾期情况，投标人应以如下方式向买方支付逾期违约金：</w:t>
            </w:r>
          </w:p>
          <w:p w14:paraId="61F56C00">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A、每逾期交货／逾期安装调试／逾期验收合格／一天，按合同总金额万分之五计算违约金；不满一天按一天计算；</w:t>
            </w:r>
          </w:p>
          <w:p w14:paraId="56B1589F">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B、上述逾期违约金的支付不影响投标人交货义务的履行；</w:t>
            </w:r>
          </w:p>
          <w:p w14:paraId="729B823D">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C、逾期交货超过15天的，采购人有权单方解除本合同，并保留追究投标人法律责任的权利。</w:t>
            </w:r>
          </w:p>
        </w:tc>
      </w:tr>
      <w:tr w14:paraId="68D8D5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1344" w:type="dxa"/>
            <w:gridSpan w:val="2"/>
            <w:vMerge w:val="continue"/>
            <w:tcBorders>
              <w:tl2br w:val="nil"/>
              <w:tr2bl w:val="nil"/>
            </w:tcBorders>
            <w:vAlign w:val="center"/>
          </w:tcPr>
          <w:p w14:paraId="33303232">
            <w:pPr>
              <w:jc w:val="center"/>
              <w:rPr>
                <w:rFonts w:asciiTheme="minorEastAsia" w:hAnsiTheme="minorEastAsia" w:eastAsiaTheme="minorEastAsia" w:cstheme="minorEastAsia"/>
                <w:b/>
                <w:szCs w:val="21"/>
              </w:rPr>
            </w:pPr>
          </w:p>
        </w:tc>
        <w:tc>
          <w:tcPr>
            <w:tcW w:w="1728" w:type="dxa"/>
            <w:gridSpan w:val="2"/>
            <w:vMerge w:val="continue"/>
            <w:tcBorders>
              <w:tl2br w:val="nil"/>
              <w:tr2bl w:val="nil"/>
            </w:tcBorders>
            <w:vAlign w:val="center"/>
          </w:tcPr>
          <w:p w14:paraId="556DCFDB">
            <w:pPr>
              <w:jc w:val="center"/>
              <w:rPr>
                <w:rFonts w:asciiTheme="minorEastAsia" w:hAnsiTheme="minorEastAsia" w:eastAsiaTheme="minorEastAsia" w:cstheme="minorEastAsia"/>
                <w:b/>
                <w:bCs/>
                <w:kern w:val="0"/>
                <w:szCs w:val="21"/>
              </w:rPr>
            </w:pPr>
          </w:p>
        </w:tc>
        <w:tc>
          <w:tcPr>
            <w:tcW w:w="5999" w:type="dxa"/>
            <w:gridSpan w:val="3"/>
            <w:tcBorders>
              <w:tl2br w:val="nil"/>
              <w:tr2bl w:val="nil"/>
            </w:tcBorders>
          </w:tcPr>
          <w:p w14:paraId="3E012405">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lang w:val="en-US" w:eastAsia="zh-CN"/>
              </w:rPr>
              <w:t>4</w:t>
            </w:r>
            <w:r>
              <w:rPr>
                <w:rFonts w:hint="eastAsia" w:asciiTheme="minorEastAsia" w:hAnsiTheme="minorEastAsia" w:eastAsiaTheme="minorEastAsia" w:cstheme="minorEastAsia"/>
                <w:spacing w:val="-3"/>
                <w:szCs w:val="21"/>
              </w:rPr>
              <w:t>.5中标人所交付产品、工程或服务不符合其投标承诺的，或在投标阶段为了中标而盲目虚假承诺、低价恶性竞争，在履约阶段则通过偷工减料、以次充好而获取利润的，将被没收履约保证金，并被履约评价工作实施机构评为履约等级“差”并按主管部门相关规定处理。</w:t>
            </w:r>
          </w:p>
        </w:tc>
      </w:tr>
      <w:tr w14:paraId="351053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44" w:type="dxa"/>
            <w:gridSpan w:val="2"/>
            <w:vMerge w:val="restart"/>
            <w:tcBorders>
              <w:tl2br w:val="nil"/>
              <w:tr2bl w:val="nil"/>
            </w:tcBorders>
            <w:vAlign w:val="center"/>
          </w:tcPr>
          <w:p w14:paraId="1E3ECCF0">
            <w:pPr>
              <w:jc w:val="center"/>
              <w:rPr>
                <w:rFonts w:hint="eastAsia" w:asciiTheme="minorEastAsia" w:hAnsiTheme="minorEastAsia" w:eastAsiaTheme="minorEastAsia" w:cstheme="minorEastAsia"/>
                <w:b/>
                <w:szCs w:val="21"/>
                <w:lang w:eastAsia="zh-CN"/>
              </w:rPr>
            </w:pPr>
            <w:r>
              <w:rPr>
                <w:rFonts w:hint="eastAsia" w:asciiTheme="minorEastAsia" w:hAnsiTheme="minorEastAsia" w:eastAsiaTheme="minorEastAsia" w:cstheme="minorEastAsia"/>
                <w:b/>
                <w:szCs w:val="21"/>
                <w:lang w:val="en-US" w:eastAsia="zh-CN"/>
              </w:rPr>
              <w:t>5</w:t>
            </w:r>
          </w:p>
        </w:tc>
        <w:tc>
          <w:tcPr>
            <w:tcW w:w="1728" w:type="dxa"/>
            <w:gridSpan w:val="2"/>
            <w:vMerge w:val="restart"/>
            <w:tcBorders>
              <w:tl2br w:val="nil"/>
              <w:tr2bl w:val="nil"/>
            </w:tcBorders>
            <w:vAlign w:val="center"/>
          </w:tcPr>
          <w:p w14:paraId="4F9E1E0C">
            <w:pPr>
              <w:jc w:val="center"/>
              <w:rPr>
                <w:rFonts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其他</w:t>
            </w:r>
          </w:p>
        </w:tc>
        <w:tc>
          <w:tcPr>
            <w:tcW w:w="5999" w:type="dxa"/>
            <w:gridSpan w:val="3"/>
            <w:tcBorders>
              <w:tl2br w:val="nil"/>
              <w:tr2bl w:val="nil"/>
            </w:tcBorders>
            <w:vAlign w:val="center"/>
          </w:tcPr>
          <w:p w14:paraId="3C8EE458">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lang w:val="en-US" w:eastAsia="zh-CN"/>
              </w:rPr>
              <w:t>5</w:t>
            </w:r>
            <w:r>
              <w:rPr>
                <w:rFonts w:hint="eastAsia" w:asciiTheme="minorEastAsia" w:hAnsiTheme="minorEastAsia" w:eastAsiaTheme="minorEastAsia" w:cstheme="minorEastAsia"/>
                <w:spacing w:val="-3"/>
                <w:szCs w:val="21"/>
              </w:rPr>
              <w:t>.1投标人应按其投标文件中的承诺，进行其他售后服务工作。</w:t>
            </w:r>
          </w:p>
        </w:tc>
      </w:tr>
      <w:tr w14:paraId="1DF80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44" w:type="dxa"/>
            <w:gridSpan w:val="2"/>
            <w:vMerge w:val="continue"/>
            <w:tcBorders>
              <w:tl2br w:val="nil"/>
              <w:tr2bl w:val="nil"/>
            </w:tcBorders>
            <w:vAlign w:val="center"/>
          </w:tcPr>
          <w:p w14:paraId="795AA64E">
            <w:pPr>
              <w:jc w:val="center"/>
              <w:rPr>
                <w:rFonts w:asciiTheme="minorEastAsia" w:hAnsiTheme="minorEastAsia" w:eastAsiaTheme="minorEastAsia" w:cstheme="minorEastAsia"/>
                <w:b/>
                <w:szCs w:val="21"/>
              </w:rPr>
            </w:pPr>
          </w:p>
        </w:tc>
        <w:tc>
          <w:tcPr>
            <w:tcW w:w="1728" w:type="dxa"/>
            <w:gridSpan w:val="2"/>
            <w:vMerge w:val="continue"/>
            <w:tcBorders>
              <w:tl2br w:val="nil"/>
              <w:tr2bl w:val="nil"/>
            </w:tcBorders>
            <w:vAlign w:val="center"/>
          </w:tcPr>
          <w:p w14:paraId="0893884D">
            <w:pPr>
              <w:jc w:val="center"/>
              <w:rPr>
                <w:rFonts w:asciiTheme="minorEastAsia" w:hAnsiTheme="minorEastAsia" w:eastAsiaTheme="minorEastAsia" w:cstheme="minorEastAsia"/>
                <w:b/>
                <w:kern w:val="0"/>
                <w:szCs w:val="21"/>
              </w:rPr>
            </w:pPr>
          </w:p>
        </w:tc>
        <w:tc>
          <w:tcPr>
            <w:tcW w:w="5999" w:type="dxa"/>
            <w:gridSpan w:val="3"/>
            <w:tcBorders>
              <w:tl2br w:val="nil"/>
              <w:tr2bl w:val="nil"/>
            </w:tcBorders>
            <w:vAlign w:val="center"/>
          </w:tcPr>
          <w:p w14:paraId="0D9777A5">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lang w:val="en-US" w:eastAsia="zh-CN"/>
              </w:rPr>
              <w:t>5</w:t>
            </w:r>
            <w:r>
              <w:rPr>
                <w:rFonts w:hint="eastAsia" w:asciiTheme="minorEastAsia" w:hAnsiTheme="minorEastAsia" w:eastAsiaTheme="minorEastAsia" w:cstheme="minorEastAsia"/>
                <w:spacing w:val="-3"/>
                <w:szCs w:val="21"/>
              </w:rPr>
              <w:t>.2系统部署架构需满足院内信息安全要求，仅开放必要端口和服务，禁止默认方式部署，系统功能满足信息安全等级保护三级要求，对中高危漏洞3天内修复，紧急情况24小时内处置，签订信息安全保密承诺书，严禁外泄医院数据及个人隐私，遵守院内信息安全管理制度。</w:t>
            </w:r>
          </w:p>
        </w:tc>
      </w:tr>
      <w:tr w14:paraId="7217FB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1344" w:type="dxa"/>
            <w:gridSpan w:val="2"/>
            <w:vMerge w:val="continue"/>
            <w:tcBorders>
              <w:tl2br w:val="nil"/>
              <w:tr2bl w:val="nil"/>
            </w:tcBorders>
            <w:vAlign w:val="center"/>
          </w:tcPr>
          <w:p w14:paraId="70657828">
            <w:pPr>
              <w:jc w:val="center"/>
              <w:rPr>
                <w:rFonts w:asciiTheme="minorEastAsia" w:hAnsiTheme="minorEastAsia" w:eastAsiaTheme="minorEastAsia" w:cstheme="minorEastAsia"/>
                <w:b/>
                <w:szCs w:val="21"/>
              </w:rPr>
            </w:pPr>
          </w:p>
        </w:tc>
        <w:tc>
          <w:tcPr>
            <w:tcW w:w="1728" w:type="dxa"/>
            <w:gridSpan w:val="2"/>
            <w:vMerge w:val="continue"/>
            <w:tcBorders>
              <w:tl2br w:val="nil"/>
              <w:tr2bl w:val="nil"/>
            </w:tcBorders>
            <w:vAlign w:val="center"/>
          </w:tcPr>
          <w:p w14:paraId="36529B5E">
            <w:pPr>
              <w:jc w:val="center"/>
              <w:rPr>
                <w:rFonts w:asciiTheme="minorEastAsia" w:hAnsiTheme="minorEastAsia" w:eastAsiaTheme="minorEastAsia" w:cstheme="minorEastAsia"/>
                <w:b/>
                <w:kern w:val="0"/>
                <w:szCs w:val="21"/>
              </w:rPr>
            </w:pPr>
          </w:p>
        </w:tc>
        <w:tc>
          <w:tcPr>
            <w:tcW w:w="5999" w:type="dxa"/>
            <w:gridSpan w:val="3"/>
            <w:tcBorders>
              <w:tl2br w:val="nil"/>
              <w:tr2bl w:val="nil"/>
            </w:tcBorders>
            <w:vAlign w:val="center"/>
          </w:tcPr>
          <w:p w14:paraId="480C554A">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lang w:val="en-US" w:eastAsia="zh-CN"/>
              </w:rPr>
              <w:t>5</w:t>
            </w:r>
            <w:r>
              <w:rPr>
                <w:rFonts w:hint="eastAsia" w:asciiTheme="minorEastAsia" w:hAnsiTheme="minorEastAsia" w:eastAsiaTheme="minorEastAsia" w:cstheme="minorEastAsia"/>
                <w:spacing w:val="-3"/>
                <w:szCs w:val="21"/>
              </w:rPr>
              <w:t>.3数据接口</w:t>
            </w:r>
          </w:p>
          <w:p w14:paraId="0722CB3A">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投标人承诺需要实现与医院各个系统之间的数据共享与系统互联。医院已经建立信息集成平台，应按照医院系统集成要求，实现与集成平台对接，提供通用标准接口定义。</w:t>
            </w:r>
          </w:p>
          <w:p w14:paraId="5982BAEA">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投标人承诺接口原则：保持数据一致性、保持数据的完整性、保持数据库的效率、数据库的安全性。</w:t>
            </w:r>
          </w:p>
          <w:p w14:paraId="5D4798C4">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投标人承诺需要实现与医院集成平台的数据无缝衔接。</w:t>
            </w:r>
          </w:p>
          <w:p w14:paraId="7E553B3F">
            <w:pPr>
              <w:snapToGrid w:val="0"/>
              <w:spacing w:line="500" w:lineRule="exact"/>
              <w:rPr>
                <w:rFonts w:asciiTheme="minorEastAsia" w:hAnsiTheme="minorEastAsia" w:eastAsiaTheme="minorEastAsia" w:cstheme="minorEastAsia"/>
                <w:spacing w:val="-3"/>
                <w:szCs w:val="21"/>
              </w:rPr>
            </w:pPr>
            <w:r>
              <w:rPr>
                <w:rFonts w:hint="eastAsia" w:asciiTheme="minorEastAsia" w:hAnsiTheme="minorEastAsia" w:eastAsiaTheme="minorEastAsia" w:cstheme="minorEastAsia"/>
                <w:spacing w:val="-3"/>
                <w:szCs w:val="21"/>
              </w:rPr>
              <w:t>投标人承诺通过系统集成平台实现与医院其它信息系统集成。</w:t>
            </w:r>
          </w:p>
        </w:tc>
      </w:tr>
    </w:tbl>
    <w:p w14:paraId="295C69BE">
      <w:pPr>
        <w:spacing w:line="360" w:lineRule="auto"/>
        <w:rPr>
          <w:rFonts w:ascii="宋体" w:hAnsi="宋体" w:cs="宋体"/>
          <w:sz w:val="28"/>
          <w:szCs w:val="28"/>
          <w:shd w:val="clear" w:color="auto" w:fill="FFFFFF"/>
        </w:rPr>
      </w:pPr>
    </w:p>
    <w:bookmarkEnd w:id="1"/>
    <w:p w14:paraId="09A539AD">
      <w:pPr>
        <w:widowControl/>
        <w:spacing w:line="360" w:lineRule="auto"/>
        <w:jc w:val="left"/>
        <w:rPr>
          <w:rFonts w:ascii="宋体" w:hAnsi="宋体" w:cs="宋体"/>
          <w:b/>
          <w:bCs/>
          <w:sz w:val="24"/>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5855C">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51286">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7451286">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DC41B6"/>
    <w:multiLevelType w:val="singleLevel"/>
    <w:tmpl w:val="87DC41B6"/>
    <w:lvl w:ilvl="0" w:tentative="0">
      <w:start w:val="1"/>
      <w:numFmt w:val="decimal"/>
      <w:suff w:val="nothing"/>
      <w:lvlText w:val="（%1）"/>
      <w:lvlJc w:val="left"/>
    </w:lvl>
  </w:abstractNum>
  <w:abstractNum w:abstractNumId="1">
    <w:nsid w:val="0030563B"/>
    <w:multiLevelType w:val="multilevel"/>
    <w:tmpl w:val="0030563B"/>
    <w:lvl w:ilvl="0" w:tentative="0">
      <w:start w:val="1"/>
      <w:numFmt w:val="chineseCountingThousand"/>
      <w:suff w:val="space"/>
      <w:lvlText w:val="第%1章"/>
      <w:lvlJc w:val="left"/>
      <w:pPr>
        <w:ind w:left="0" w:firstLine="0"/>
      </w:pPr>
      <w:rPr>
        <w:rFonts w:hint="eastAsia"/>
      </w:rPr>
    </w:lvl>
    <w:lvl w:ilvl="1" w:tentative="0">
      <w:start w:val="1"/>
      <w:numFmt w:val="decimal"/>
      <w:isLgl/>
      <w:suff w:val="space"/>
      <w:lvlText w:val="%1.%2"/>
      <w:lvlJc w:val="left"/>
      <w:pPr>
        <w:tabs>
          <w:tab w:val="left" w:pos="0"/>
        </w:tabs>
        <w:ind w:left="0" w:firstLine="0"/>
      </w:pPr>
      <w:rPr>
        <w:rFonts w:hint="eastAsia" w:ascii="仿宋" w:hAnsi="仿宋" w:eastAsia="仿宋"/>
      </w:rPr>
    </w:lvl>
    <w:lvl w:ilvl="2" w:tentative="0">
      <w:start w:val="1"/>
      <w:numFmt w:val="decimal"/>
      <w:isLgl/>
      <w:suff w:val="space"/>
      <w:lvlText w:val="%1.%2.%3"/>
      <w:lvlJc w:val="left"/>
      <w:pPr>
        <w:ind w:left="0" w:firstLine="0"/>
      </w:pPr>
      <w:rPr>
        <w:rFonts w:hint="default" w:ascii="仿宋" w:hAnsi="仿宋" w:eastAsia="仿宋" w:cs="仿宋"/>
      </w:rPr>
    </w:lvl>
    <w:lvl w:ilvl="3" w:tentative="0">
      <w:start w:val="1"/>
      <w:numFmt w:val="decimal"/>
      <w:pStyle w:val="4"/>
      <w:isLgl/>
      <w:suff w:val="space"/>
      <w:lvlText w:val="%1.%2.%3.%4"/>
      <w:lvlJc w:val="left"/>
      <w:pPr>
        <w:ind w:left="0" w:firstLine="0"/>
      </w:pPr>
      <w:rPr>
        <w:rFonts w:hint="default" w:ascii="仿宋" w:hAnsi="仿宋" w:eastAsia="仿宋" w:cs="仿宋"/>
        <w:sz w:val="24"/>
        <w:szCs w:val="24"/>
      </w:rPr>
    </w:lvl>
    <w:lvl w:ilvl="4" w:tentative="0">
      <w:start w:val="1"/>
      <w:numFmt w:val="decimal"/>
      <w:isLgl/>
      <w:suff w:val="space"/>
      <w:lvlText w:val="%1.%2.%3.%4.%5"/>
      <w:lvlJc w:val="left"/>
      <w:pPr>
        <w:ind w:left="0" w:firstLine="0"/>
      </w:pPr>
      <w:rPr>
        <w:rFonts w:hint="default" w:ascii="仿宋" w:hAnsi="仿宋" w:eastAsia="仿宋" w:cs="仿宋"/>
      </w:rPr>
    </w:lvl>
    <w:lvl w:ilvl="5" w:tentative="0">
      <w:start w:val="1"/>
      <w:numFmt w:val="decimal"/>
      <w:isLgl/>
      <w:suff w:val="space"/>
      <w:lvlText w:val="%1.%2.%3.%4.%5.%6"/>
      <w:lvlJc w:val="left"/>
      <w:pPr>
        <w:ind w:left="0" w:firstLine="0"/>
      </w:pPr>
      <w:rPr>
        <w:rFonts w:hint="eastAsia" w:ascii="宋体" w:hAnsi="宋体" w:eastAsia="宋体"/>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BEB8AD4"/>
    <w:rsid w:val="0018415A"/>
    <w:rsid w:val="001F511C"/>
    <w:rsid w:val="002658C9"/>
    <w:rsid w:val="00383AAD"/>
    <w:rsid w:val="003F778D"/>
    <w:rsid w:val="004A0AE1"/>
    <w:rsid w:val="004B027F"/>
    <w:rsid w:val="005B3B3E"/>
    <w:rsid w:val="005C76C6"/>
    <w:rsid w:val="008A1570"/>
    <w:rsid w:val="00AE0F15"/>
    <w:rsid w:val="00C77E22"/>
    <w:rsid w:val="00D50BA8"/>
    <w:rsid w:val="0B6D0BF0"/>
    <w:rsid w:val="3809520B"/>
    <w:rsid w:val="3DAF6237"/>
    <w:rsid w:val="3F875848"/>
    <w:rsid w:val="3FDD47A7"/>
    <w:rsid w:val="3FF74EDF"/>
    <w:rsid w:val="46CD3B9F"/>
    <w:rsid w:val="5FA8A43B"/>
    <w:rsid w:val="6BFF77B6"/>
    <w:rsid w:val="77FE4343"/>
    <w:rsid w:val="7CBA0F64"/>
    <w:rsid w:val="7DEF2523"/>
    <w:rsid w:val="7E7B4769"/>
    <w:rsid w:val="7FFE3F90"/>
    <w:rsid w:val="7FFF2B01"/>
    <w:rsid w:val="7FFF6790"/>
    <w:rsid w:val="8F0F92C8"/>
    <w:rsid w:val="9F2231D9"/>
    <w:rsid w:val="BD6F0D69"/>
    <w:rsid w:val="BDFE42AA"/>
    <w:rsid w:val="D1ADA0F2"/>
    <w:rsid w:val="DBEB8AD4"/>
    <w:rsid w:val="DC58763A"/>
    <w:rsid w:val="DDF6F33F"/>
    <w:rsid w:val="DE2F650E"/>
    <w:rsid w:val="DFFF7009"/>
    <w:rsid w:val="E6FB2824"/>
    <w:rsid w:val="E7AF2697"/>
    <w:rsid w:val="E87DDEE2"/>
    <w:rsid w:val="EF79606A"/>
    <w:rsid w:val="F7776A7E"/>
    <w:rsid w:val="F97B73C6"/>
    <w:rsid w:val="F9F737CD"/>
    <w:rsid w:val="FDFD47A9"/>
    <w:rsid w:val="FEFF5C9D"/>
    <w:rsid w:val="FF55FC56"/>
    <w:rsid w:val="FFCA05FC"/>
    <w:rsid w:val="FFCEF28B"/>
    <w:rsid w:val="FFFFD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paragraph" w:styleId="4">
    <w:name w:val="heading 4"/>
    <w:basedOn w:val="1"/>
    <w:next w:val="1"/>
    <w:unhideWhenUsed/>
    <w:qFormat/>
    <w:uiPriority w:val="0"/>
    <w:pPr>
      <w:keepNext/>
      <w:keepLines/>
      <w:numPr>
        <w:ilvl w:val="3"/>
        <w:numId w:val="1"/>
      </w:numPr>
      <w:spacing w:before="50" w:beforeLines="50" w:line="360" w:lineRule="auto"/>
      <w:outlineLvl w:val="3"/>
    </w:pPr>
    <w:rPr>
      <w:rFonts w:ascii="Arial" w:hAnsi="Arial" w:eastAsia="仿宋"/>
      <w:b/>
      <w:sz w:val="24"/>
    </w:rPr>
  </w:style>
  <w:style w:type="character" w:default="1" w:styleId="17">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style>
  <w:style w:type="paragraph" w:styleId="6">
    <w:name w:val="annotation text"/>
    <w:basedOn w:val="1"/>
    <w:qFormat/>
    <w:uiPriority w:val="0"/>
    <w:pPr>
      <w:jc w:val="left"/>
    </w:pPr>
  </w:style>
  <w:style w:type="paragraph" w:styleId="7">
    <w:name w:val="Body Text"/>
    <w:basedOn w:val="1"/>
    <w:next w:val="1"/>
    <w:qFormat/>
    <w:uiPriority w:val="0"/>
    <w:pPr>
      <w:spacing w:after="120"/>
    </w:pPr>
    <w:rPr>
      <w:rFonts w:ascii="Calibri" w:hAnsi="Calibri"/>
    </w:rPr>
  </w:style>
  <w:style w:type="paragraph" w:styleId="8">
    <w:name w:val="Balloon Text"/>
    <w:basedOn w:val="1"/>
    <w:link w:val="20"/>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4">
    <w:name w:val="Normal (Web)"/>
    <w:basedOn w:val="1"/>
    <w:qFormat/>
    <w:uiPriority w:val="0"/>
    <w:pPr>
      <w:spacing w:beforeAutospacing="1" w:afterAutospacing="1"/>
      <w:jc w:val="left"/>
    </w:pPr>
    <w:rPr>
      <w:kern w:val="0"/>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annotation reference"/>
    <w:basedOn w:val="17"/>
    <w:qFormat/>
    <w:uiPriority w:val="0"/>
    <w:rPr>
      <w:sz w:val="21"/>
      <w:szCs w:val="21"/>
    </w:rPr>
  </w:style>
  <w:style w:type="character" w:customStyle="1" w:styleId="20">
    <w:name w:val="批注框文本 字符"/>
    <w:basedOn w:val="17"/>
    <w:link w:val="8"/>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7</Pages>
  <Words>765</Words>
  <Characters>774</Characters>
  <Lines>28</Lines>
  <Paragraphs>8</Paragraphs>
  <TotalTime>394</TotalTime>
  <ScaleCrop>false</ScaleCrop>
  <LinksUpToDate>false</LinksUpToDate>
  <CharactersWithSpaces>774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2026-05-19T03:23:00Z</dcterms:created>
  <dc:creator>Zoe</dc:creator>
  <cp:lastModifiedBy>曾</cp:lastModifiedBy>
  <cp:lastPrinted>2026-09-10T23:43:00Z</cp:lastPrinted>
  <dcterms:modified xsi:type="dcterms:W3CDTF">2026-10-29T01:10:34Z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003701E3DAAD4D65B5C3A9D08B5FC615_13</vt:lpwstr>
  </property>
  <property fmtid="{D5CDD505-2E9C-101B-9397-08002B2CF9AE}" pid="4" name="KSOTemplateDocerSaveRecord">
    <vt:lpwstr>eyJoZGlkIjoiOTBhOWE0ZDc2ZmFlMjBhMzc0ZmI5ZmNlNzJkMjhiMDUiLCJ1c2VySWQiOiI0NTUyOTczMTIifQ==</vt:lpwstr>
  </property>
</Properties>
</file>