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10A20">
      <w:pPr>
        <w:pStyle w:val="2"/>
        <w:jc w:val="center"/>
        <w:rPr>
          <w:rFonts w:hint="eastAsia" w:eastAsia="宋体" w:cs="Times New Roman"/>
          <w:sz w:val="36"/>
          <w:szCs w:val="36"/>
          <w:lang w:val="en-US" w:eastAsia="zh-CN"/>
        </w:rPr>
      </w:pPr>
      <w:r>
        <w:rPr>
          <w:rFonts w:hint="eastAsia" w:eastAsia="宋体" w:cs="Times New Roman"/>
          <w:sz w:val="36"/>
          <w:szCs w:val="36"/>
          <w:lang w:val="en-US" w:eastAsia="zh-CN"/>
        </w:rPr>
        <w:t>深圳市质子肿瘤治疗中心辐射监测设备</w:t>
      </w:r>
    </w:p>
    <w:p w14:paraId="6D4B6431">
      <w:pPr>
        <w:pStyle w:val="2"/>
        <w:jc w:val="center"/>
        <w:rPr>
          <w:rFonts w:hint="default" w:eastAsia="宋体" w:cs="Times New Roman"/>
          <w:sz w:val="36"/>
          <w:szCs w:val="36"/>
          <w:lang w:val="en-US" w:eastAsia="zh-CN"/>
        </w:rPr>
      </w:pPr>
      <w:r>
        <w:rPr>
          <w:rFonts w:hint="eastAsia" w:eastAsia="宋体" w:cs="Times New Roman"/>
          <w:sz w:val="36"/>
          <w:szCs w:val="36"/>
          <w:lang w:val="en-US" w:eastAsia="zh-CN"/>
        </w:rPr>
        <w:t>技术参数要求</w:t>
      </w:r>
    </w:p>
    <w:p w14:paraId="3059E4D3">
      <w:pPr>
        <w:pStyle w:val="2"/>
        <w:rPr>
          <w:rFonts w:hint="default" w:eastAsia="宋体" w:cs="Times New Roman"/>
          <w:lang w:val="en-US" w:eastAsia="zh-CN"/>
        </w:rPr>
      </w:pPr>
      <w:r>
        <w:rPr>
          <w:rFonts w:hint="eastAsia" w:eastAsia="宋体" w:cs="Times New Roman"/>
          <w:lang w:val="en-US" w:eastAsia="zh-CN"/>
        </w:rPr>
        <w:t>一、参数要求</w:t>
      </w:r>
    </w:p>
    <w:p w14:paraId="279E9196">
      <w:pPr>
        <w:pStyle w:val="2"/>
        <w:rPr>
          <w:rFonts w:hint="eastAsia" w:eastAsia="宋体" w:cs="Times New Roman"/>
        </w:rPr>
      </w:pPr>
      <w:r>
        <w:rPr>
          <w:rFonts w:hint="eastAsia" w:eastAsia="宋体" w:cs="Times New Roman"/>
          <w:lang w:eastAsia="zh-CN"/>
        </w:rPr>
        <w:t>（</w:t>
      </w:r>
      <w:r>
        <w:rPr>
          <w:rFonts w:hint="eastAsia" w:eastAsia="宋体" w:cs="Times New Roman"/>
          <w:lang w:val="en-US" w:eastAsia="zh-CN"/>
        </w:rPr>
        <w:t>1</w:t>
      </w:r>
      <w:r>
        <w:rPr>
          <w:rFonts w:hint="eastAsia" w:eastAsia="宋体" w:cs="Times New Roman"/>
          <w:lang w:eastAsia="zh-CN"/>
        </w:rPr>
        <w:t>）</w:t>
      </w:r>
      <w:r>
        <w:rPr>
          <w:rFonts w:hint="eastAsia" w:eastAsia="宋体" w:cs="Times New Roman"/>
          <w:lang w:val="en-US" w:eastAsia="zh-CN"/>
        </w:rPr>
        <w:t>环境辐射监测仪（γ射线）</w:t>
      </w:r>
      <w:r>
        <w:rPr>
          <w:rFonts w:eastAsia="宋体" w:cs="Times New Roman"/>
        </w:rPr>
        <w:t xml:space="preserve"> </w:t>
      </w:r>
    </w:p>
    <w:p w14:paraId="44D66693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position w:val="6"/>
          <w:sz w:val="24"/>
          <w:highlight w:val="none"/>
        </w:rPr>
      </w:pPr>
      <w:r>
        <w:rPr>
          <w:rFonts w:hint="eastAsia" w:ascii="宋体" w:hAnsi="宋体" w:eastAsia="宋体" w:cs="Times New Roman"/>
          <w:position w:val="6"/>
          <w:sz w:val="24"/>
          <w:highlight w:val="none"/>
        </w:rPr>
        <w:t>探测器类型：充氩气8L高压电离室</w:t>
      </w:r>
    </w:p>
    <w:p w14:paraId="7029E4F9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探测射线类型 ：伽马射线</w:t>
      </w:r>
    </w:p>
    <w:p w14:paraId="124220EB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能量范围：50keV— 10MeV</w:t>
      </w:r>
    </w:p>
    <w:p w14:paraId="0DF57F9C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测量范围：0.01μSv/h～1Sv/h</w:t>
      </w:r>
    </w:p>
    <w:p w14:paraId="1E2D4BE8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灵敏度：≥0.250nSv/脉冲</w:t>
      </w:r>
    </w:p>
    <w:p w14:paraId="4AC5BAA7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参考能量：0.662MeV (</w:t>
      </w: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:vertAlign w:val="superscript"/>
          <w14:textFill>
            <w14:solidFill>
              <w14:schemeClr w14:val="tx1"/>
            </w14:solidFill>
          </w14:textFill>
        </w:rPr>
        <w:t>137</w:t>
      </w: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Cs)</w:t>
      </w:r>
    </w:p>
    <w:p w14:paraId="1E967B6D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响应时间：&lt;1s</w:t>
      </w:r>
    </w:p>
    <w:p w14:paraId="0E09C783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抗过载特性:100Gy</w:t>
      </w:r>
    </w:p>
    <w:p w14:paraId="2837A7EF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相对固有误差:&lt;+15% (参考能量</w:t>
      </w: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:vertAlign w:val="superscript"/>
          <w14:textFill>
            <w14:solidFill>
              <w14:schemeClr w14:val="tx1"/>
            </w14:solidFill>
          </w14:textFill>
        </w:rPr>
        <w:t>137</w:t>
      </w: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Cs)</w:t>
      </w:r>
    </w:p>
    <w:p w14:paraId="7A325044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报警阈值:连续可调</w:t>
      </w:r>
    </w:p>
    <w:p w14:paraId="773E35BD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设备外壳:防护等级IP65</w:t>
      </w:r>
    </w:p>
    <w:p w14:paraId="28A08960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静电放电抗扰度试验的试验等级为3级</w:t>
      </w:r>
    </w:p>
    <w:p w14:paraId="31C2E924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射频和电磁场抗扰度试验的试验等级为3级</w:t>
      </w:r>
    </w:p>
    <w:p w14:paraId="1D76C593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内含温湿度测量、电池电压测量、高压值测量</w:t>
      </w:r>
    </w:p>
    <w:p w14:paraId="7086546B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测里精度指标:在剂量率超过最灵敏里程最大值的1/3时，变异系数不得超过3%;在剂里率超过最小有效值的10倍时，变异系数不得超过3%</w:t>
      </w:r>
    </w:p>
    <w:p w14:paraId="6C6179AA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角响应:4π范围RAVER/R≥0.95 (</w:t>
      </w: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:vertAlign w:val="superscript"/>
          <w14:textFill>
            <w14:solidFill>
              <w14:schemeClr w14:val="tx1"/>
            </w14:solidFill>
          </w14:textFill>
        </w:rPr>
        <w:t>137</w:t>
      </w: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Cs 参考γ辐射源)。RAVER为角响应平均值，R为刻度方向上的响应值</w:t>
      </w:r>
    </w:p>
    <w:p w14:paraId="72856511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户外安装，含支架、检定证书。</w:t>
      </w:r>
    </w:p>
    <w:p w14:paraId="092A8568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通讯方式：</w:t>
      </w:r>
      <w:r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RS-485</w:t>
      </w: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、I/F脉冲接口</w:t>
      </w:r>
    </w:p>
    <w:p w14:paraId="06271D22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显示：探头配有就地液晶显示，探头端可进行参数设置，探头可独立工作；也可连接辐射监测主机显示</w:t>
      </w:r>
      <w:r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259551FB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工作温度:-40</w:t>
      </w:r>
      <w:r>
        <w:rPr>
          <w:rFonts w:hint="eastAsia" w:ascii="宋体" w:hAnsi="宋体" w:eastAsia="宋体" w:cs="宋体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℃</w:t>
      </w:r>
      <w:r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~55</w:t>
      </w:r>
      <w:r>
        <w:rPr>
          <w:rFonts w:hint="eastAsia" w:ascii="宋体" w:hAnsi="宋体" w:eastAsia="宋体" w:cs="宋体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>℃</w:t>
      </w:r>
      <w:r>
        <w:rPr>
          <w:rFonts w:ascii="宋体" w:hAnsi="宋体" w:eastAsia="宋体" w:cs="Times New Roman"/>
          <w:color w:val="000000" w:themeColor="text1"/>
          <w:position w:val="6"/>
          <w:sz w:val="24"/>
          <w:highlight w:val="none"/>
          <w14:textFill>
            <w14:solidFill>
              <w14:schemeClr w14:val="tx1"/>
            </w14:solidFill>
          </w14:textFill>
        </w:rPr>
        <w:t xml:space="preserve"> (优于) </w:t>
      </w:r>
    </w:p>
    <w:p w14:paraId="6C76DF99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position w:val="6"/>
          <w:sz w:val="24"/>
          <w14:textFill>
            <w14:solidFill>
              <w14:schemeClr w14:val="tx1"/>
            </w14:solidFill>
          </w14:textFill>
        </w:rPr>
        <w:t>相对湿度:100%相对湿度(无凝结)</w:t>
      </w:r>
    </w:p>
    <w:p w14:paraId="276CF37C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000000" w:themeColor="text1"/>
          <w:position w:val="6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position w:val="6"/>
          <w:sz w:val="24"/>
          <w14:textFill>
            <w14:solidFill>
              <w14:schemeClr w14:val="tx1"/>
            </w14:solidFill>
          </w14:textFill>
        </w:rPr>
        <w:t xml:space="preserve">数据接口:RS-485串口，Modbus协议 </w:t>
      </w:r>
    </w:p>
    <w:p w14:paraId="19C59C1D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position w:val="6"/>
          <w:sz w:val="24"/>
          <w:highlight w:val="none"/>
        </w:rPr>
        <w:t>与现场现有系统和主机正常通讯</w:t>
      </w:r>
    </w:p>
    <w:p w14:paraId="245C6998">
      <w:pPr>
        <w:pStyle w:val="9"/>
        <w:numPr>
          <w:ilvl w:val="0"/>
          <w:numId w:val="1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position w:val="6"/>
          <w:sz w:val="24"/>
          <w:highlight w:val="none"/>
        </w:rPr>
        <w:t>电源：220（±20%）VAC供电</w:t>
      </w:r>
    </w:p>
    <w:p w14:paraId="61D62D8E">
      <w:pPr>
        <w:pStyle w:val="2"/>
        <w:rPr>
          <w:rFonts w:hint="eastAsia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eastAsia="宋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TJ-IV(ID)</w:t>
      </w:r>
      <w:r>
        <w:rPr>
          <w:rFonts w:hint="eastAsia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S马计量率监测仪 </w:t>
      </w:r>
      <w:r>
        <w:rPr>
          <w:rFonts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 w14:paraId="094401B6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探测器类型:GM+电离室 </w:t>
      </w:r>
    </w:p>
    <w:p w14:paraId="11024AE8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射线测量种类 : γ射线 </w:t>
      </w:r>
    </w:p>
    <w:p w14:paraId="20006B11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测里范围 :0.10μSv/h~15Sv/h </w:t>
      </w:r>
    </w:p>
    <w:p w14:paraId="4B183B46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>能里范围 :50keV~ 10MeV (＜25%， 参考能量 137Cs）</w:t>
      </w:r>
    </w:p>
    <w:p w14:paraId="7BA6CCEF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参考能量:0.662MeV (137Cs) </w:t>
      </w:r>
    </w:p>
    <w:p w14:paraId="4910EB3A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>响应时间:＜1s (1mSv/h）</w:t>
      </w:r>
    </w:p>
    <w:p w14:paraId="291CFA65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抗过载特性:500Gy </w:t>
      </w:r>
    </w:p>
    <w:p w14:paraId="57BEC4DD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相对固有误差:＜+15% (参考能量137Cs) </w:t>
      </w:r>
    </w:p>
    <w:p w14:paraId="4C9339C3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报警阈值:连续可调 </w:t>
      </w:r>
    </w:p>
    <w:p w14:paraId="471BC1C2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设备外壳:防护等级IP65 </w:t>
      </w:r>
    </w:p>
    <w:p w14:paraId="0EE51A1A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静电放电抗扰度试验的试验等级为3级 </w:t>
      </w:r>
    </w:p>
    <w:p w14:paraId="6F6795DB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射频和电磁场抗扰度试验的试验等级为3级 </w:t>
      </w:r>
    </w:p>
    <w:p w14:paraId="636D12E2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>工作温度:-40</w:t>
      </w:r>
      <w:r>
        <w:rPr>
          <w:rFonts w:hint="eastAsia" w:ascii="宋体" w:hAnsi="宋体" w:eastAsia="宋体" w:cs="Times New Roman"/>
          <w:color w:val="auto"/>
          <w:position w:val="6"/>
          <w:sz w:val="24"/>
          <w:highlight w:val="none"/>
        </w:rPr>
        <w:t>℃</w:t>
      </w: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>~55</w:t>
      </w:r>
      <w:r>
        <w:rPr>
          <w:rFonts w:hint="eastAsia" w:ascii="宋体" w:hAnsi="宋体" w:eastAsia="宋体" w:cs="Times New Roman"/>
          <w:color w:val="auto"/>
          <w:position w:val="6"/>
          <w:sz w:val="24"/>
          <w:highlight w:val="none"/>
        </w:rPr>
        <w:t>℃</w:t>
      </w: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 (优于) </w:t>
      </w:r>
    </w:p>
    <w:p w14:paraId="020F7FC0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>相对湿度:100%相对湿度(无凝结)</w:t>
      </w:r>
    </w:p>
    <w:p w14:paraId="749EFE09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数据接口:RS-485串口，Modbus协议 </w:t>
      </w:r>
    </w:p>
    <w:p w14:paraId="543A73C3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position w:val="6"/>
          <w:sz w:val="24"/>
        </w:rPr>
      </w:pPr>
      <w:r>
        <w:rPr>
          <w:rFonts w:hint="eastAsia" w:ascii="宋体" w:hAnsi="宋体" w:eastAsia="宋体" w:cs="Times New Roman"/>
          <w:color w:val="auto"/>
          <w:position w:val="6"/>
          <w:sz w:val="24"/>
          <w:highlight w:val="none"/>
        </w:rPr>
        <w:t>现场现有系统和主机正常通讯</w:t>
      </w:r>
    </w:p>
    <w:p w14:paraId="52FA5FBA"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环境辐射监测仪（中子）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</w:p>
    <w:p w14:paraId="6A3751D6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>探测器类型:</w:t>
      </w:r>
      <w:r>
        <w:rPr>
          <w:rFonts w:ascii="宋体" w:hAnsi="宋体" w:eastAsia="宋体" w:cs="Times New Roman"/>
          <w:color w:val="auto"/>
          <w:position w:val="6"/>
          <w:sz w:val="24"/>
          <w:highlight w:val="none"/>
          <w:vertAlign w:val="superscript"/>
        </w:rPr>
        <w:t>3</w:t>
      </w: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He管探测器 </w:t>
      </w:r>
    </w:p>
    <w:p w14:paraId="674B74D4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慢化体:圆柱形聚乙烯复合慢化体 </w:t>
      </w:r>
    </w:p>
    <w:p w14:paraId="54CDCD0B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>尺寸:直径≤</w:t>
      </w:r>
      <w:r>
        <w:rPr>
          <w:rFonts w:hint="eastAsia" w:ascii="宋体" w:hAnsi="宋体" w:eastAsia="宋体" w:cs="Times New Roman"/>
          <w:color w:val="auto"/>
          <w:position w:val="6"/>
          <w:sz w:val="24"/>
          <w:highlight w:val="none"/>
        </w:rPr>
        <w:t>20</w:t>
      </w: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>0mm</w:t>
      </w:r>
      <w:r>
        <w:rPr>
          <w:rFonts w:hint="eastAsia" w:ascii="宋体" w:hAnsi="宋体" w:eastAsia="宋体" w:cs="Times New Roman"/>
          <w:color w:val="auto"/>
          <w:position w:val="6"/>
          <w:sz w:val="24"/>
          <w:highlight w:val="none"/>
          <w:lang w:val="en-US" w:eastAsia="zh-CN"/>
        </w:rPr>
        <w:t xml:space="preserve">  </w:t>
      </w: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>长度≤</w:t>
      </w:r>
      <w:r>
        <w:rPr>
          <w:rFonts w:hint="eastAsia" w:ascii="宋体" w:hAnsi="宋体" w:eastAsia="宋体" w:cs="Times New Roman"/>
          <w:color w:val="auto"/>
          <w:position w:val="6"/>
          <w:sz w:val="24"/>
          <w:highlight w:val="none"/>
        </w:rPr>
        <w:t>25</w:t>
      </w: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0mm </w:t>
      </w:r>
    </w:p>
    <w:p w14:paraId="76400BA4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能量范围:热中子～400MeV </w:t>
      </w:r>
    </w:p>
    <w:p w14:paraId="120B7AF5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测量范围:0.10μSv/h～100mSv/h </w:t>
      </w:r>
    </w:p>
    <w:p w14:paraId="5D78BD87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能量响应:≤30% </w:t>
      </w:r>
    </w:p>
    <w:p w14:paraId="7C0BCA8B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基本误差:≤15% </w:t>
      </w:r>
    </w:p>
    <w:p w14:paraId="6B6622EA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响应时间:≤3s </w:t>
      </w:r>
    </w:p>
    <w:p w14:paraId="485664EA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ascii="宋体" w:hAnsi="宋体" w:eastAsia="宋体" w:cs="Times New Roman"/>
          <w:color w:val="auto"/>
          <w:position w:val="6"/>
          <w:sz w:val="24"/>
          <w:highlight w:val="none"/>
        </w:rPr>
        <w:t xml:space="preserve">通讯方式:RS-485数字通讯接口:RS485串口、以太网（可选）、TTL脉冲信号接口 </w:t>
      </w:r>
    </w:p>
    <w:p w14:paraId="356A533A">
      <w:pPr>
        <w:pStyle w:val="9"/>
        <w:numPr>
          <w:ilvl w:val="0"/>
          <w:numId w:val="2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color w:val="auto"/>
          <w:position w:val="6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position w:val="6"/>
          <w:sz w:val="24"/>
          <w:highlight w:val="none"/>
        </w:rPr>
        <w:t>与现场现有系统和主机正常通讯，探头端可单独进行参数设置，可配备小液晶屏独立工作</w:t>
      </w:r>
    </w:p>
    <w:p w14:paraId="0A85D44B">
      <w:pPr>
        <w:tabs>
          <w:tab w:val="left" w:pos="715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）</w:t>
      </w:r>
      <w:r>
        <w:rPr>
          <w:rFonts w:ascii="Times New Roman" w:hAnsi="Times New Roman" w:eastAsia="宋体" w:cs="Times New Roman"/>
          <w:b/>
          <w:sz w:val="28"/>
          <w:szCs w:val="28"/>
        </w:rPr>
        <w:t>ND-101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S</w:t>
      </w:r>
      <w:r>
        <w:rPr>
          <w:rFonts w:ascii="Times New Roman" w:hAnsi="Times New Roman" w:eastAsia="宋体" w:cs="Times New Roman"/>
          <w:b/>
          <w:sz w:val="28"/>
          <w:szCs w:val="28"/>
        </w:rPr>
        <w:t>中子监测仪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</w:p>
    <w:p w14:paraId="6D8FEB83">
      <w:pPr>
        <w:pStyle w:val="9"/>
        <w:numPr>
          <w:ilvl w:val="0"/>
          <w:numId w:val="3"/>
        </w:numPr>
        <w:tabs>
          <w:tab w:val="left" w:pos="420"/>
        </w:tabs>
        <w:spacing w:line="360" w:lineRule="auto"/>
        <w:ind w:left="425" w:leftChars="0" w:hanging="425" w:firstLineChars="0"/>
        <w:rPr>
          <w:rFonts w:hint="eastAsia" w:ascii="宋体" w:hAnsi="宋体" w:eastAsia="宋体" w:cs="Times New Roman"/>
          <w:color w:val="auto"/>
          <w:position w:val="6"/>
          <w:sz w:val="24"/>
        </w:rPr>
      </w:pPr>
      <w:r>
        <w:rPr>
          <w:rFonts w:hint="eastAsia" w:ascii="宋体" w:hAnsi="宋体" w:eastAsia="宋体" w:cs="Times New Roman"/>
          <w:color w:val="auto"/>
          <w:position w:val="6"/>
          <w:sz w:val="24"/>
        </w:rPr>
        <w:t xml:space="preserve">探测器类型:3He管探测器 </w:t>
      </w:r>
    </w:p>
    <w:p w14:paraId="1E06CDCA">
      <w:pPr>
        <w:pStyle w:val="9"/>
        <w:numPr>
          <w:ilvl w:val="0"/>
          <w:numId w:val="3"/>
        </w:numPr>
        <w:tabs>
          <w:tab w:val="left" w:pos="420"/>
        </w:tabs>
        <w:spacing w:line="360" w:lineRule="auto"/>
        <w:ind w:left="425" w:leftChars="0" w:hanging="425" w:firstLineChars="0"/>
        <w:rPr>
          <w:rFonts w:hint="eastAsia" w:ascii="宋体" w:hAnsi="宋体" w:eastAsia="宋体" w:cs="Times New Roman"/>
          <w:color w:val="auto"/>
          <w:position w:val="6"/>
          <w:sz w:val="24"/>
        </w:rPr>
      </w:pPr>
      <w:r>
        <w:rPr>
          <w:rFonts w:hint="eastAsia" w:ascii="宋体" w:hAnsi="宋体" w:eastAsia="宋体" w:cs="Times New Roman"/>
          <w:color w:val="auto"/>
          <w:position w:val="6"/>
          <w:sz w:val="24"/>
        </w:rPr>
        <w:t xml:space="preserve">慢化体:圆柱形聚乙烯复合慢化体 </w:t>
      </w:r>
    </w:p>
    <w:p w14:paraId="23DBAB3E">
      <w:pPr>
        <w:pStyle w:val="9"/>
        <w:numPr>
          <w:ilvl w:val="0"/>
          <w:numId w:val="3"/>
        </w:numPr>
        <w:tabs>
          <w:tab w:val="left" w:pos="420"/>
        </w:tabs>
        <w:spacing w:line="360" w:lineRule="auto"/>
        <w:ind w:left="425" w:leftChars="0" w:hanging="425" w:firstLineChars="0"/>
        <w:rPr>
          <w:rFonts w:hint="eastAsia" w:ascii="宋体" w:hAnsi="宋体" w:eastAsia="宋体" w:cs="Times New Roman"/>
          <w:color w:val="auto"/>
          <w:position w:val="6"/>
          <w:sz w:val="24"/>
        </w:rPr>
      </w:pPr>
      <w:r>
        <w:rPr>
          <w:rFonts w:hint="eastAsia" w:ascii="宋体" w:hAnsi="宋体" w:eastAsia="宋体" w:cs="Times New Roman"/>
          <w:color w:val="auto"/>
          <w:position w:val="6"/>
          <w:sz w:val="24"/>
        </w:rPr>
        <w:t xml:space="preserve">尺寸:直径≤220mm长度≤310mm </w:t>
      </w:r>
    </w:p>
    <w:p w14:paraId="15541450">
      <w:pPr>
        <w:pStyle w:val="9"/>
        <w:numPr>
          <w:ilvl w:val="0"/>
          <w:numId w:val="3"/>
        </w:numPr>
        <w:tabs>
          <w:tab w:val="left" w:pos="420"/>
        </w:tabs>
        <w:spacing w:line="360" w:lineRule="auto"/>
        <w:ind w:left="425" w:leftChars="0" w:hanging="425" w:firstLineChars="0"/>
        <w:rPr>
          <w:rFonts w:hint="eastAsia" w:ascii="宋体" w:hAnsi="宋体" w:eastAsia="宋体" w:cs="Times New Roman"/>
          <w:color w:val="auto"/>
          <w:position w:val="6"/>
          <w:sz w:val="24"/>
        </w:rPr>
      </w:pPr>
      <w:r>
        <w:rPr>
          <w:rFonts w:hint="eastAsia" w:ascii="宋体" w:hAnsi="宋体" w:eastAsia="宋体" w:cs="Times New Roman"/>
          <w:color w:val="auto"/>
          <w:position w:val="6"/>
          <w:sz w:val="24"/>
        </w:rPr>
        <w:t xml:space="preserve">能量范围:热中子～400MeV </w:t>
      </w:r>
    </w:p>
    <w:p w14:paraId="6F3F6C42">
      <w:pPr>
        <w:pStyle w:val="9"/>
        <w:numPr>
          <w:ilvl w:val="0"/>
          <w:numId w:val="3"/>
        </w:numPr>
        <w:tabs>
          <w:tab w:val="left" w:pos="420"/>
        </w:tabs>
        <w:spacing w:line="360" w:lineRule="auto"/>
        <w:ind w:left="425" w:leftChars="0" w:hanging="425" w:firstLineChars="0"/>
        <w:rPr>
          <w:rFonts w:hint="eastAsia" w:ascii="宋体" w:hAnsi="宋体" w:eastAsia="宋体" w:cs="Times New Roman"/>
          <w:color w:val="auto"/>
          <w:position w:val="6"/>
          <w:sz w:val="24"/>
        </w:rPr>
      </w:pPr>
      <w:r>
        <w:rPr>
          <w:rFonts w:hint="eastAsia" w:ascii="宋体" w:hAnsi="宋体" w:eastAsia="宋体" w:cs="Times New Roman"/>
          <w:color w:val="auto"/>
          <w:position w:val="6"/>
          <w:sz w:val="24"/>
        </w:rPr>
        <w:t xml:space="preserve">测量范围:0.10μSv/h～100mSv/h </w:t>
      </w:r>
    </w:p>
    <w:p w14:paraId="56FC5398">
      <w:pPr>
        <w:pStyle w:val="9"/>
        <w:numPr>
          <w:ilvl w:val="0"/>
          <w:numId w:val="3"/>
        </w:numPr>
        <w:tabs>
          <w:tab w:val="left" w:pos="420"/>
        </w:tabs>
        <w:spacing w:line="360" w:lineRule="auto"/>
        <w:ind w:left="425" w:leftChars="0" w:hanging="425" w:firstLineChars="0"/>
        <w:rPr>
          <w:rFonts w:hint="eastAsia" w:ascii="宋体" w:hAnsi="宋体" w:eastAsia="宋体" w:cs="Times New Roman"/>
          <w:color w:val="auto"/>
          <w:position w:val="6"/>
          <w:sz w:val="24"/>
        </w:rPr>
      </w:pPr>
      <w:r>
        <w:rPr>
          <w:rFonts w:hint="eastAsia" w:ascii="宋体" w:hAnsi="宋体" w:eastAsia="宋体" w:cs="Times New Roman"/>
          <w:color w:val="auto"/>
          <w:position w:val="6"/>
          <w:sz w:val="24"/>
        </w:rPr>
        <w:t xml:space="preserve">能量响应:≤30% </w:t>
      </w:r>
    </w:p>
    <w:p w14:paraId="7AC176F7">
      <w:pPr>
        <w:pStyle w:val="9"/>
        <w:numPr>
          <w:ilvl w:val="0"/>
          <w:numId w:val="3"/>
        </w:numPr>
        <w:tabs>
          <w:tab w:val="left" w:pos="420"/>
        </w:tabs>
        <w:spacing w:line="360" w:lineRule="auto"/>
        <w:ind w:left="425" w:leftChars="0" w:hanging="425" w:firstLineChars="0"/>
        <w:rPr>
          <w:rFonts w:hint="eastAsia" w:ascii="宋体" w:hAnsi="宋体" w:eastAsia="宋体" w:cs="Times New Roman"/>
          <w:color w:val="auto"/>
          <w:position w:val="6"/>
          <w:sz w:val="24"/>
        </w:rPr>
      </w:pPr>
      <w:r>
        <w:rPr>
          <w:rFonts w:hint="eastAsia" w:ascii="宋体" w:hAnsi="宋体" w:eastAsia="宋体" w:cs="Times New Roman"/>
          <w:color w:val="auto"/>
          <w:position w:val="6"/>
          <w:sz w:val="24"/>
        </w:rPr>
        <w:t xml:space="preserve">基本误差:≤15% </w:t>
      </w:r>
    </w:p>
    <w:p w14:paraId="25E22F9D">
      <w:pPr>
        <w:pStyle w:val="9"/>
        <w:numPr>
          <w:ilvl w:val="0"/>
          <w:numId w:val="3"/>
        </w:numPr>
        <w:tabs>
          <w:tab w:val="left" w:pos="420"/>
        </w:tabs>
        <w:spacing w:line="360" w:lineRule="auto"/>
        <w:ind w:left="425" w:leftChars="0" w:hanging="425" w:firstLineChars="0"/>
        <w:rPr>
          <w:rFonts w:hint="eastAsia" w:ascii="宋体" w:hAnsi="宋体" w:eastAsia="宋体" w:cs="Times New Roman"/>
          <w:color w:val="auto"/>
          <w:position w:val="6"/>
          <w:sz w:val="24"/>
        </w:rPr>
      </w:pPr>
      <w:r>
        <w:rPr>
          <w:rFonts w:hint="eastAsia" w:ascii="宋体" w:hAnsi="宋体" w:eastAsia="宋体" w:cs="Times New Roman"/>
          <w:color w:val="auto"/>
          <w:position w:val="6"/>
          <w:sz w:val="24"/>
        </w:rPr>
        <w:t xml:space="preserve">响应时间:≤3s </w:t>
      </w:r>
    </w:p>
    <w:p w14:paraId="0D0FA330">
      <w:pPr>
        <w:pStyle w:val="9"/>
        <w:numPr>
          <w:ilvl w:val="0"/>
          <w:numId w:val="3"/>
        </w:numPr>
        <w:tabs>
          <w:tab w:val="left" w:pos="420"/>
        </w:tabs>
        <w:spacing w:line="360" w:lineRule="auto"/>
        <w:ind w:left="425" w:leftChars="0" w:hanging="425" w:firstLineChars="0"/>
        <w:rPr>
          <w:rFonts w:hint="eastAsia" w:ascii="宋体" w:hAnsi="宋体" w:eastAsia="宋体" w:cs="Times New Roman"/>
          <w:color w:val="auto"/>
          <w:position w:val="6"/>
          <w:sz w:val="24"/>
        </w:rPr>
      </w:pPr>
      <w:r>
        <w:rPr>
          <w:rFonts w:hint="eastAsia" w:ascii="宋体" w:hAnsi="宋体" w:eastAsia="宋体" w:cs="Times New Roman"/>
          <w:color w:val="auto"/>
          <w:position w:val="6"/>
          <w:sz w:val="24"/>
        </w:rPr>
        <w:t xml:space="preserve">通讯方式:RS-485数字通讯接口:RS485串口、以太网（可选）、TTL脉冲信号接口 </w:t>
      </w:r>
    </w:p>
    <w:p w14:paraId="4C7DA56F">
      <w:pPr>
        <w:pStyle w:val="9"/>
        <w:numPr>
          <w:ilvl w:val="0"/>
          <w:numId w:val="3"/>
        </w:numPr>
        <w:tabs>
          <w:tab w:val="left" w:pos="420"/>
        </w:tabs>
        <w:spacing w:line="360" w:lineRule="auto"/>
        <w:ind w:left="425" w:leftChars="0" w:hanging="425" w:firstLineChars="0"/>
        <w:rPr>
          <w:rFonts w:hint="eastAsia" w:ascii="宋体" w:hAnsi="宋体" w:eastAsia="宋体" w:cs="Times New Roman"/>
          <w:color w:val="auto"/>
          <w:position w:val="6"/>
          <w:sz w:val="24"/>
        </w:rPr>
      </w:pPr>
      <w:r>
        <w:rPr>
          <w:rFonts w:hint="eastAsia" w:ascii="宋体" w:hAnsi="宋体" w:eastAsia="宋体" w:cs="Times New Roman"/>
          <w:color w:val="auto"/>
          <w:position w:val="6"/>
          <w:sz w:val="24"/>
        </w:rPr>
        <w:t>现场现有系统和主机正常通讯</w:t>
      </w:r>
    </w:p>
    <w:p w14:paraId="6AD8B403">
      <w:pPr>
        <w:pStyle w:val="9"/>
        <w:numPr>
          <w:ilvl w:val="0"/>
          <w:numId w:val="3"/>
        </w:numPr>
        <w:tabs>
          <w:tab w:val="left" w:pos="420"/>
        </w:tabs>
        <w:spacing w:line="360" w:lineRule="auto"/>
        <w:ind w:left="425" w:leftChars="0" w:hanging="425" w:firstLineChars="0"/>
        <w:rPr>
          <w:rFonts w:ascii="宋体" w:hAnsi="宋体" w:eastAsia="宋体" w:cs="Times New Roman"/>
          <w:position w:val="6"/>
          <w:sz w:val="24"/>
        </w:rPr>
      </w:pPr>
      <w:r>
        <w:rPr>
          <w:rFonts w:hint="eastAsia" w:ascii="宋体" w:hAnsi="宋体" w:eastAsia="宋体" w:cs="Times New Roman"/>
          <w:color w:val="auto"/>
          <w:position w:val="6"/>
          <w:sz w:val="24"/>
        </w:rPr>
        <w:t xml:space="preserve">含支架、检定证书 </w:t>
      </w:r>
    </w:p>
    <w:p w14:paraId="609F79F9">
      <w:pPr>
        <w:pStyle w:val="9"/>
        <w:numPr>
          <w:numId w:val="0"/>
        </w:numPr>
        <w:tabs>
          <w:tab w:val="left" w:pos="420"/>
        </w:tabs>
        <w:spacing w:line="360" w:lineRule="auto"/>
        <w:rPr>
          <w:rFonts w:hint="eastAsia" w:ascii="宋体" w:hAnsi="宋体" w:eastAsia="宋体" w:cs="Times New Roman"/>
          <w:position w:val="6"/>
          <w:sz w:val="24"/>
          <w:lang w:val="en-US" w:eastAsia="zh-CN"/>
        </w:rPr>
      </w:pPr>
      <w:r>
        <w:rPr>
          <w:rFonts w:hint="eastAsia" w:ascii="宋体" w:hAnsi="宋体" w:eastAsia="宋体" w:cs="Times New Roman"/>
          <w:position w:val="6"/>
          <w:sz w:val="24"/>
          <w:lang w:val="en-US" w:eastAsia="zh-CN"/>
        </w:rPr>
        <w:t>二、数量</w:t>
      </w:r>
    </w:p>
    <w:tbl>
      <w:tblPr>
        <w:tblW w:w="84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4918"/>
        <w:gridCol w:w="1440"/>
        <w:gridCol w:w="1580"/>
      </w:tblGrid>
      <w:tr w14:paraId="37192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0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5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环境辐射监测仪（γ射线）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2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6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185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B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C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TJ-IV(ID)</w:t>
            </w:r>
            <w:r>
              <w:rPr>
                <w:rFonts w:hint="eastAsia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S马计量率监测仪 </w:t>
            </w:r>
            <w:r>
              <w:rPr>
                <w:rFonts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2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E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4CB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B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环境辐射监测仪（中子）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8E3B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C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ND-101S中子监测仪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4DB472C7">
      <w:pPr>
        <w:pStyle w:val="9"/>
        <w:numPr>
          <w:numId w:val="0"/>
        </w:numPr>
        <w:tabs>
          <w:tab w:val="left" w:pos="420"/>
        </w:tabs>
        <w:spacing w:line="360" w:lineRule="auto"/>
        <w:jc w:val="center"/>
        <w:rPr>
          <w:rFonts w:hint="default" w:ascii="宋体" w:hAnsi="宋体" w:eastAsia="宋体" w:cs="Times New Roman"/>
          <w:position w:val="6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BF578"/>
    <w:multiLevelType w:val="singleLevel"/>
    <w:tmpl w:val="D4FBF5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95A9287"/>
    <w:multiLevelType w:val="singleLevel"/>
    <w:tmpl w:val="E95A92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6DD8010"/>
    <w:multiLevelType w:val="singleLevel"/>
    <w:tmpl w:val="66DD80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jY2EzODIzMzE4YzIxZTI0NWE4NWNkZTBkZGI2Y2QifQ=="/>
  </w:docVars>
  <w:rsids>
    <w:rsidRoot w:val="00EA2DBA"/>
    <w:rsid w:val="000B177D"/>
    <w:rsid w:val="000E401C"/>
    <w:rsid w:val="0010393A"/>
    <w:rsid w:val="00107EB2"/>
    <w:rsid w:val="00144642"/>
    <w:rsid w:val="001959CB"/>
    <w:rsid w:val="001A4577"/>
    <w:rsid w:val="001A50B6"/>
    <w:rsid w:val="00230909"/>
    <w:rsid w:val="003156AF"/>
    <w:rsid w:val="00317CE1"/>
    <w:rsid w:val="00343803"/>
    <w:rsid w:val="00383970"/>
    <w:rsid w:val="003927A1"/>
    <w:rsid w:val="003C7C20"/>
    <w:rsid w:val="0044499A"/>
    <w:rsid w:val="00461954"/>
    <w:rsid w:val="00471896"/>
    <w:rsid w:val="004E1A85"/>
    <w:rsid w:val="00527ADC"/>
    <w:rsid w:val="00585CF9"/>
    <w:rsid w:val="005E00AE"/>
    <w:rsid w:val="0061020A"/>
    <w:rsid w:val="007034A8"/>
    <w:rsid w:val="00712ACD"/>
    <w:rsid w:val="00764DD0"/>
    <w:rsid w:val="007702DB"/>
    <w:rsid w:val="007831B2"/>
    <w:rsid w:val="009A5B0F"/>
    <w:rsid w:val="009E262E"/>
    <w:rsid w:val="009E3CE8"/>
    <w:rsid w:val="00A03EB5"/>
    <w:rsid w:val="00AC7A94"/>
    <w:rsid w:val="00B16195"/>
    <w:rsid w:val="00B20EF9"/>
    <w:rsid w:val="00B329AC"/>
    <w:rsid w:val="00CA007D"/>
    <w:rsid w:val="00CB59FD"/>
    <w:rsid w:val="00D673B2"/>
    <w:rsid w:val="00E16373"/>
    <w:rsid w:val="00E62573"/>
    <w:rsid w:val="00E826AC"/>
    <w:rsid w:val="00E97E83"/>
    <w:rsid w:val="00EA2DBA"/>
    <w:rsid w:val="00F437A5"/>
    <w:rsid w:val="00F57792"/>
    <w:rsid w:val="00F75BAB"/>
    <w:rsid w:val="00FD29B3"/>
    <w:rsid w:val="040C645F"/>
    <w:rsid w:val="05B253F0"/>
    <w:rsid w:val="06856661"/>
    <w:rsid w:val="077C1812"/>
    <w:rsid w:val="08A92ADB"/>
    <w:rsid w:val="0AF12517"/>
    <w:rsid w:val="0E2624D8"/>
    <w:rsid w:val="16BF34C9"/>
    <w:rsid w:val="19E25E4D"/>
    <w:rsid w:val="1B8D1DE8"/>
    <w:rsid w:val="1BA17641"/>
    <w:rsid w:val="1C1C4F1A"/>
    <w:rsid w:val="21221225"/>
    <w:rsid w:val="26DE174A"/>
    <w:rsid w:val="2A2D4EC2"/>
    <w:rsid w:val="2B870602"/>
    <w:rsid w:val="2B8C79C6"/>
    <w:rsid w:val="2C583D4C"/>
    <w:rsid w:val="323A4620"/>
    <w:rsid w:val="35040F15"/>
    <w:rsid w:val="37EF7C5B"/>
    <w:rsid w:val="3F0044FB"/>
    <w:rsid w:val="41250249"/>
    <w:rsid w:val="41F145CF"/>
    <w:rsid w:val="42266472"/>
    <w:rsid w:val="49D722FD"/>
    <w:rsid w:val="4A563B69"/>
    <w:rsid w:val="4CD80866"/>
    <w:rsid w:val="53A07C03"/>
    <w:rsid w:val="56334D5F"/>
    <w:rsid w:val="56E30533"/>
    <w:rsid w:val="58181A04"/>
    <w:rsid w:val="59486D73"/>
    <w:rsid w:val="5B7E6A7C"/>
    <w:rsid w:val="5C2E2250"/>
    <w:rsid w:val="60261490"/>
    <w:rsid w:val="643C77A6"/>
    <w:rsid w:val="65896749"/>
    <w:rsid w:val="67DD0FCE"/>
    <w:rsid w:val="698913A7"/>
    <w:rsid w:val="6B250CC2"/>
    <w:rsid w:val="6DB4632D"/>
    <w:rsid w:val="6F5222A2"/>
    <w:rsid w:val="71237A52"/>
    <w:rsid w:val="724D0AFE"/>
    <w:rsid w:val="7A3C1B84"/>
    <w:rsid w:val="7A8772A3"/>
    <w:rsid w:val="7EFE5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widowControl/>
      <w:spacing w:before="100" w:after="100"/>
      <w:jc w:val="left"/>
      <w:outlineLvl w:val="0"/>
    </w:pPr>
    <w:rPr>
      <w:rFonts w:ascii="宋体" w:hAnsi="宋体"/>
      <w:b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562</Words>
  <Characters>751</Characters>
  <Lines>5</Lines>
  <Paragraphs>1</Paragraphs>
  <TotalTime>134</TotalTime>
  <ScaleCrop>false</ScaleCrop>
  <LinksUpToDate>false</LinksUpToDate>
  <CharactersWithSpaces>778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2025-04-11T03:08:00Z</dcterms:created>
  <dc:creator>E5400</dc:creator>
  <cp:lastModifiedBy>丘小布yoyo</cp:lastModifiedBy>
  <cp:lastPrinted>2025-06-09T06:48:16Z</cp:lastPrinted>
  <dcterms:modified xsi:type="dcterms:W3CDTF">2025-06-10T01:10:07Z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2F3234A521C64CD7906FAB83FB676AF8_13</vt:lpwstr>
  </property>
  <property fmtid="{D5CDD505-2E9C-101B-9397-08002B2CF9AE}" pid="4" name="KSOTemplateDocerSaveRecord">
    <vt:lpwstr>eyJoZGlkIjoiZWUzMDIzYzE0NTMzZjRiNTU1OGU3OTk1NjI3MDBmM2UiLCJ1c2VySWQiOiIxMjA0Njc3NTc5In0=</vt:lpwstr>
  </property>
</Properties>
</file>