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2D813C">
      <w:pPr>
        <w:spacing w:before="156" w:beforeLines="50" w:after="156" w:afterLines="50" w:line="360" w:lineRule="auto"/>
        <w:jc w:val="center"/>
        <w:outlineLvl w:val="0"/>
        <w:rPr>
          <w:color w:val="FF0000"/>
          <w:sz w:val="30"/>
          <w:szCs w:val="30"/>
        </w:rPr>
      </w:pPr>
      <w:bookmarkStart w:id="0" w:name="_Toc503340605"/>
      <w:r>
        <w:rPr>
          <w:rFonts w:hint="eastAsia"/>
          <w:b/>
          <w:bCs/>
          <w:sz w:val="30"/>
          <w:szCs w:val="30"/>
        </w:rPr>
        <w:t>第二章用户需求书</w:t>
      </w:r>
      <w:bookmarkEnd w:id="0"/>
    </w:p>
    <w:p w14:paraId="7DA97B5A">
      <w:pPr>
        <w:numPr>
          <w:ilvl w:val="0"/>
          <w:numId w:val="1"/>
        </w:numPr>
        <w:spacing w:line="360" w:lineRule="auto"/>
        <w:ind w:firstLine="0"/>
        <w:rPr>
          <w:rFonts w:ascii="宋体" w:hAnsi="宋体" w:cs="宋体"/>
          <w:b/>
          <w:bCs/>
          <w:kern w:val="44"/>
          <w:szCs w:val="21"/>
        </w:rPr>
      </w:pPr>
      <w:r>
        <w:rPr>
          <w:rFonts w:hint="eastAsia" w:ascii="宋体" w:hAnsi="宋体" w:cs="宋体"/>
          <w:b/>
          <w:bCs/>
          <w:kern w:val="44"/>
          <w:szCs w:val="21"/>
        </w:rPr>
        <w:t>项目一览表</w:t>
      </w:r>
    </w:p>
    <w:tbl>
      <w:tblPr>
        <w:tblStyle w:val="33"/>
        <w:tblW w:w="99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2825"/>
        <w:gridCol w:w="1300"/>
        <w:gridCol w:w="4034"/>
        <w:gridCol w:w="1820"/>
      </w:tblGrid>
      <w:tr w14:paraId="61CB175E">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47" w:hRule="atLeast"/>
          <w:jc w:val="center"/>
        </w:trPr>
        <w:tc>
          <w:tcPr>
            <w:tcW w:w="2825" w:type="dxa"/>
            <w:shd w:val="clear" w:color="auto" w:fill="EEECE1"/>
            <w:vAlign w:val="center"/>
          </w:tcPr>
          <w:p w14:paraId="69EE144B">
            <w:pPr>
              <w:jc w:val="center"/>
              <w:rPr>
                <w:rFonts w:ascii="宋体" w:hAnsi="宋体" w:cs="宋体"/>
                <w:b/>
                <w:szCs w:val="21"/>
              </w:rPr>
            </w:pPr>
            <w:r>
              <w:rPr>
                <w:rFonts w:hint="eastAsia"/>
                <w:b/>
                <w:color w:val="000000"/>
                <w:szCs w:val="21"/>
              </w:rPr>
              <w:t>采购内容</w:t>
            </w:r>
          </w:p>
        </w:tc>
        <w:tc>
          <w:tcPr>
            <w:tcW w:w="1300" w:type="dxa"/>
            <w:shd w:val="clear" w:color="auto" w:fill="EEECE1"/>
            <w:vAlign w:val="center"/>
          </w:tcPr>
          <w:p w14:paraId="6DDA6933">
            <w:pPr>
              <w:jc w:val="center"/>
              <w:rPr>
                <w:rFonts w:ascii="宋体" w:hAnsi="宋体" w:cs="宋体"/>
                <w:b/>
                <w:szCs w:val="21"/>
              </w:rPr>
            </w:pPr>
            <w:r>
              <w:rPr>
                <w:rFonts w:hint="eastAsia"/>
                <w:b/>
                <w:color w:val="000000"/>
                <w:szCs w:val="21"/>
              </w:rPr>
              <w:t>数量</w:t>
            </w:r>
          </w:p>
        </w:tc>
        <w:tc>
          <w:tcPr>
            <w:tcW w:w="4034" w:type="dxa"/>
            <w:shd w:val="clear" w:color="auto" w:fill="EEECE1"/>
            <w:vAlign w:val="center"/>
          </w:tcPr>
          <w:p w14:paraId="6D8D70F6">
            <w:pPr>
              <w:jc w:val="center"/>
              <w:rPr>
                <w:rFonts w:ascii="宋体" w:hAnsi="宋体" w:cs="宋体"/>
                <w:b/>
                <w:szCs w:val="21"/>
              </w:rPr>
            </w:pPr>
            <w:r>
              <w:rPr>
                <w:rFonts w:hint="eastAsia"/>
                <w:b/>
                <w:color w:val="000000"/>
                <w:szCs w:val="21"/>
              </w:rPr>
              <w:t>服务期</w:t>
            </w:r>
          </w:p>
        </w:tc>
        <w:tc>
          <w:tcPr>
            <w:tcW w:w="1820" w:type="dxa"/>
            <w:shd w:val="clear" w:color="auto" w:fill="EEECE1"/>
            <w:vAlign w:val="center"/>
          </w:tcPr>
          <w:p w14:paraId="663386E6">
            <w:pPr>
              <w:jc w:val="center"/>
              <w:rPr>
                <w:rFonts w:ascii="宋体" w:hAnsi="宋体" w:cs="宋体"/>
                <w:szCs w:val="21"/>
              </w:rPr>
            </w:pPr>
            <w:r>
              <w:rPr>
                <w:rFonts w:hint="eastAsia"/>
                <w:b/>
                <w:color w:val="000000"/>
                <w:szCs w:val="21"/>
              </w:rPr>
              <w:t>最高限价</w:t>
            </w:r>
          </w:p>
        </w:tc>
      </w:tr>
      <w:tr w14:paraId="03FDA93D">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894" w:hRule="atLeast"/>
          <w:jc w:val="center"/>
        </w:trPr>
        <w:tc>
          <w:tcPr>
            <w:tcW w:w="2825" w:type="dxa"/>
            <w:vAlign w:val="center"/>
          </w:tcPr>
          <w:p w14:paraId="474C6DFB">
            <w:pPr>
              <w:spacing w:line="360" w:lineRule="auto"/>
              <w:jc w:val="center"/>
              <w:rPr>
                <w:rFonts w:ascii="宋体" w:hAnsi="宋体" w:cs="宋体"/>
                <w:color w:val="000000"/>
                <w:szCs w:val="21"/>
              </w:rPr>
            </w:pPr>
            <w:r>
              <w:rPr>
                <w:rFonts w:hint="eastAsia" w:ascii="宋体" w:hAnsi="宋体" w:cs="宋体"/>
                <w:color w:val="000000"/>
                <w:szCs w:val="21"/>
              </w:rPr>
              <w:t>三级医院等级评审数据系统</w:t>
            </w:r>
          </w:p>
        </w:tc>
        <w:tc>
          <w:tcPr>
            <w:tcW w:w="1300" w:type="dxa"/>
            <w:vAlign w:val="center"/>
          </w:tcPr>
          <w:p w14:paraId="157D595B">
            <w:pPr>
              <w:jc w:val="center"/>
              <w:rPr>
                <w:rFonts w:ascii="宋体" w:hAnsi="宋体" w:cs="宋体"/>
                <w:bCs/>
                <w:color w:val="000000"/>
                <w:szCs w:val="21"/>
              </w:rPr>
            </w:pPr>
            <w:r>
              <w:rPr>
                <w:rFonts w:hint="eastAsia" w:ascii="宋体" w:hAnsi="宋体" w:cs="宋体"/>
                <w:bCs/>
                <w:szCs w:val="21"/>
              </w:rPr>
              <w:t>1项</w:t>
            </w:r>
          </w:p>
        </w:tc>
        <w:tc>
          <w:tcPr>
            <w:tcW w:w="4034" w:type="dxa"/>
            <w:vAlign w:val="center"/>
          </w:tcPr>
          <w:p w14:paraId="5A24012F">
            <w:pPr>
              <w:pStyle w:val="2"/>
              <w:spacing w:after="0" w:line="360" w:lineRule="auto"/>
              <w:jc w:val="center"/>
              <w:rPr>
                <w:rFonts w:ascii="宋体" w:hAnsi="宋体" w:cs="宋体"/>
                <w:bCs/>
                <w:sz w:val="21"/>
                <w:szCs w:val="21"/>
              </w:rPr>
            </w:pPr>
            <w:r>
              <w:rPr>
                <w:rFonts w:hint="eastAsia" w:ascii="宋体" w:hAnsi="宋体" w:cs="宋体"/>
                <w:bCs/>
                <w:sz w:val="21"/>
                <w:szCs w:val="21"/>
              </w:rPr>
              <w:t>本项目服务期限为自合同签订之日起</w:t>
            </w:r>
            <w:r>
              <w:rPr>
                <w:rFonts w:hint="eastAsia" w:ascii="宋体" w:hAnsi="宋体" w:cs="宋体"/>
                <w:bCs/>
                <w:sz w:val="21"/>
                <w:szCs w:val="21"/>
                <w:lang w:val="en-US" w:eastAsia="zh-CN"/>
              </w:rPr>
              <w:t>60</w:t>
            </w:r>
            <w:r>
              <w:rPr>
                <w:rFonts w:hint="eastAsia" w:ascii="宋体" w:hAnsi="宋体" w:cs="宋体"/>
                <w:bCs/>
                <w:sz w:val="21"/>
                <w:szCs w:val="21"/>
              </w:rPr>
              <w:t>个日历日内完成项目实施上线验收；自项目验收之日起提供</w:t>
            </w:r>
            <w:r>
              <w:rPr>
                <w:rFonts w:hint="eastAsia" w:ascii="宋体" w:hAnsi="宋体" w:cs="宋体"/>
                <w:bCs/>
                <w:sz w:val="21"/>
                <w:szCs w:val="21"/>
                <w:lang w:val="en-US" w:eastAsia="zh-CN"/>
              </w:rPr>
              <w:t>1</w:t>
            </w:r>
            <w:r>
              <w:rPr>
                <w:rFonts w:hint="eastAsia" w:ascii="宋体" w:hAnsi="宋体" w:cs="宋体"/>
                <w:bCs/>
                <w:sz w:val="21"/>
                <w:szCs w:val="21"/>
              </w:rPr>
              <w:t>年的维保服务，不额外收费。</w:t>
            </w:r>
          </w:p>
        </w:tc>
        <w:tc>
          <w:tcPr>
            <w:tcW w:w="1820" w:type="dxa"/>
            <w:vAlign w:val="center"/>
          </w:tcPr>
          <w:p w14:paraId="324E6176">
            <w:pPr>
              <w:spacing w:line="360" w:lineRule="auto"/>
              <w:jc w:val="center"/>
              <w:rPr>
                <w:rFonts w:ascii="宋体" w:hAnsi="宋体" w:cs="宋体"/>
                <w:bCs/>
                <w:szCs w:val="21"/>
              </w:rPr>
            </w:pPr>
          </w:p>
        </w:tc>
      </w:tr>
    </w:tbl>
    <w:p w14:paraId="4415F391">
      <w:pPr>
        <w:numPr>
          <w:ilvl w:val="0"/>
          <w:numId w:val="1"/>
        </w:numPr>
        <w:spacing w:line="360" w:lineRule="auto"/>
        <w:ind w:firstLine="0"/>
        <w:rPr>
          <w:rFonts w:ascii="宋体" w:hAnsi="宋体" w:cs="宋体"/>
          <w:b/>
          <w:bCs/>
          <w:kern w:val="44"/>
          <w:szCs w:val="21"/>
        </w:rPr>
      </w:pPr>
      <w:r>
        <w:rPr>
          <w:rFonts w:hint="eastAsia" w:ascii="宋体" w:hAnsi="宋体" w:cs="宋体"/>
          <w:b/>
          <w:bCs/>
          <w:kern w:val="44"/>
          <w:szCs w:val="21"/>
        </w:rPr>
        <w:t>项目清单</w:t>
      </w:r>
    </w:p>
    <w:tbl>
      <w:tblPr>
        <w:tblStyle w:val="33"/>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792"/>
        <w:gridCol w:w="851"/>
        <w:gridCol w:w="850"/>
        <w:gridCol w:w="851"/>
        <w:gridCol w:w="1626"/>
      </w:tblGrid>
      <w:tr w14:paraId="247A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14:paraId="5F1AE98F">
            <w:pPr>
              <w:jc w:val="center"/>
              <w:rPr>
                <w:rFonts w:ascii="宋体" w:hAnsi="宋体" w:cs="宋体"/>
                <w:b/>
                <w:szCs w:val="21"/>
              </w:rPr>
            </w:pPr>
            <w:r>
              <w:rPr>
                <w:rFonts w:hint="eastAsia" w:ascii="宋体" w:hAnsi="宋体" w:cs="宋体"/>
                <w:b/>
                <w:szCs w:val="21"/>
              </w:rPr>
              <w:t>序号</w:t>
            </w:r>
          </w:p>
        </w:tc>
        <w:tc>
          <w:tcPr>
            <w:tcW w:w="4792" w:type="dxa"/>
            <w:tcBorders>
              <w:top w:val="single" w:color="auto" w:sz="4" w:space="0"/>
              <w:left w:val="single" w:color="auto" w:sz="4" w:space="0"/>
              <w:bottom w:val="single" w:color="auto" w:sz="4" w:space="0"/>
              <w:right w:val="single" w:color="auto" w:sz="4" w:space="0"/>
            </w:tcBorders>
            <w:vAlign w:val="center"/>
          </w:tcPr>
          <w:p w14:paraId="5EB92DC2">
            <w:pPr>
              <w:jc w:val="center"/>
              <w:rPr>
                <w:rFonts w:ascii="宋体" w:hAnsi="宋体" w:cs="宋体"/>
                <w:b/>
                <w:szCs w:val="21"/>
              </w:rPr>
            </w:pPr>
            <w:r>
              <w:rPr>
                <w:rFonts w:hint="eastAsia" w:ascii="宋体" w:hAnsi="宋体" w:cs="宋体"/>
                <w:b/>
                <w:szCs w:val="21"/>
              </w:rPr>
              <w:t>项目名称</w:t>
            </w:r>
          </w:p>
        </w:tc>
        <w:tc>
          <w:tcPr>
            <w:tcW w:w="851" w:type="dxa"/>
            <w:tcBorders>
              <w:top w:val="single" w:color="auto" w:sz="4" w:space="0"/>
              <w:left w:val="single" w:color="auto" w:sz="4" w:space="0"/>
              <w:bottom w:val="single" w:color="auto" w:sz="4" w:space="0"/>
              <w:right w:val="single" w:color="auto" w:sz="4" w:space="0"/>
            </w:tcBorders>
            <w:vAlign w:val="center"/>
          </w:tcPr>
          <w:p w14:paraId="1D2AB40A">
            <w:pPr>
              <w:jc w:val="center"/>
              <w:rPr>
                <w:rFonts w:ascii="宋体" w:hAnsi="宋体" w:cs="宋体"/>
                <w:b/>
                <w:szCs w:val="21"/>
              </w:rPr>
            </w:pPr>
            <w:r>
              <w:rPr>
                <w:rFonts w:hint="eastAsia" w:ascii="宋体" w:hAnsi="宋体" w:cs="宋体"/>
                <w:b/>
                <w:szCs w:val="21"/>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69A7C6F9">
            <w:pPr>
              <w:jc w:val="center"/>
              <w:rPr>
                <w:rFonts w:ascii="宋体" w:hAnsi="宋体" w:cs="宋体"/>
                <w:b/>
                <w:szCs w:val="21"/>
              </w:rPr>
            </w:pPr>
            <w:r>
              <w:rPr>
                <w:rFonts w:hint="eastAsia" w:ascii="宋体" w:hAnsi="宋体" w:cs="宋体"/>
                <w:b/>
                <w:szCs w:val="21"/>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546A763A">
            <w:pPr>
              <w:jc w:val="center"/>
              <w:rPr>
                <w:rFonts w:ascii="宋体" w:hAnsi="宋体" w:cs="宋体"/>
                <w:b/>
                <w:szCs w:val="21"/>
              </w:rPr>
            </w:pPr>
            <w:r>
              <w:rPr>
                <w:rFonts w:hint="eastAsia" w:ascii="宋体" w:hAnsi="宋体" w:cs="宋体"/>
                <w:b/>
                <w:szCs w:val="21"/>
              </w:rPr>
              <w:t>备注</w:t>
            </w:r>
          </w:p>
        </w:tc>
        <w:tc>
          <w:tcPr>
            <w:tcW w:w="1626" w:type="dxa"/>
            <w:tcBorders>
              <w:top w:val="single" w:color="auto" w:sz="4" w:space="0"/>
              <w:left w:val="single" w:color="auto" w:sz="4" w:space="0"/>
              <w:bottom w:val="single" w:color="auto" w:sz="4" w:space="0"/>
              <w:right w:val="single" w:color="auto" w:sz="4" w:space="0"/>
            </w:tcBorders>
            <w:vAlign w:val="center"/>
          </w:tcPr>
          <w:p w14:paraId="0F8FC717">
            <w:pPr>
              <w:jc w:val="center"/>
              <w:rPr>
                <w:rFonts w:ascii="宋体" w:hAnsi="宋体" w:cs="宋体"/>
                <w:b/>
                <w:szCs w:val="21"/>
              </w:rPr>
            </w:pPr>
            <w:r>
              <w:rPr>
                <w:rFonts w:hint="eastAsia" w:ascii="宋体" w:hAnsi="宋体" w:cs="宋体"/>
                <w:b/>
                <w:szCs w:val="21"/>
              </w:rPr>
              <w:t>财政预算限额（万元）</w:t>
            </w:r>
          </w:p>
        </w:tc>
      </w:tr>
      <w:tr w14:paraId="60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14:paraId="011C3B1E">
            <w:pPr>
              <w:jc w:val="center"/>
              <w:rPr>
                <w:rFonts w:ascii="宋体" w:hAnsi="宋体" w:cs="宋体"/>
                <w:bCs/>
                <w:szCs w:val="21"/>
              </w:rPr>
            </w:pPr>
            <w:r>
              <w:rPr>
                <w:rFonts w:hint="eastAsia" w:ascii="宋体" w:hAnsi="宋体" w:cs="宋体"/>
                <w:bCs/>
                <w:szCs w:val="21"/>
              </w:rPr>
              <w:t>1</w:t>
            </w:r>
          </w:p>
        </w:tc>
        <w:tc>
          <w:tcPr>
            <w:tcW w:w="4792" w:type="dxa"/>
            <w:tcBorders>
              <w:top w:val="single" w:color="auto" w:sz="4" w:space="0"/>
              <w:left w:val="single" w:color="auto" w:sz="4" w:space="0"/>
              <w:bottom w:val="single" w:color="auto" w:sz="4" w:space="0"/>
              <w:right w:val="single" w:color="auto" w:sz="4" w:space="0"/>
            </w:tcBorders>
            <w:vAlign w:val="center"/>
          </w:tcPr>
          <w:p w14:paraId="002C08F6">
            <w:pPr>
              <w:rPr>
                <w:rFonts w:ascii="宋体" w:hAnsi="宋体" w:cs="宋体"/>
                <w:bCs/>
                <w:szCs w:val="21"/>
              </w:rPr>
            </w:pPr>
            <w:r>
              <w:rPr>
                <w:rFonts w:hint="eastAsia" w:ascii="宋体" w:hAnsi="宋体" w:cs="宋体"/>
                <w:color w:val="000000"/>
                <w:szCs w:val="21"/>
              </w:rPr>
              <w:t>三级医院等级评审数据系统</w:t>
            </w:r>
          </w:p>
        </w:tc>
        <w:tc>
          <w:tcPr>
            <w:tcW w:w="851" w:type="dxa"/>
            <w:tcBorders>
              <w:top w:val="single" w:color="auto" w:sz="4" w:space="0"/>
              <w:left w:val="single" w:color="auto" w:sz="4" w:space="0"/>
              <w:bottom w:val="single" w:color="auto" w:sz="4" w:space="0"/>
              <w:right w:val="single" w:color="auto" w:sz="4" w:space="0"/>
            </w:tcBorders>
            <w:vAlign w:val="center"/>
          </w:tcPr>
          <w:p w14:paraId="085B5F51">
            <w:pPr>
              <w:jc w:val="center"/>
              <w:rPr>
                <w:rFonts w:ascii="宋体" w:hAnsi="宋体" w:cs="宋体"/>
                <w:bCs/>
                <w:szCs w:val="21"/>
              </w:rPr>
            </w:pPr>
            <w:r>
              <w:rPr>
                <w:rFonts w:hint="eastAsia" w:ascii="宋体" w:hAnsi="宋体" w:cs="宋体"/>
                <w:bCs/>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14:paraId="73720F14">
            <w:pPr>
              <w:jc w:val="center"/>
              <w:rPr>
                <w:rFonts w:ascii="宋体" w:hAnsi="宋体" w:cs="宋体"/>
                <w:bCs/>
                <w:szCs w:val="21"/>
              </w:rPr>
            </w:pPr>
            <w:r>
              <w:rPr>
                <w:rFonts w:hint="eastAsia" w:ascii="宋体" w:hAnsi="宋体" w:cs="宋体"/>
                <w:bCs/>
                <w:szCs w:val="21"/>
              </w:rPr>
              <w:t>项</w:t>
            </w:r>
          </w:p>
        </w:tc>
        <w:tc>
          <w:tcPr>
            <w:tcW w:w="851" w:type="dxa"/>
            <w:tcBorders>
              <w:top w:val="single" w:color="auto" w:sz="4" w:space="0"/>
              <w:left w:val="single" w:color="auto" w:sz="4" w:space="0"/>
              <w:bottom w:val="single" w:color="auto" w:sz="4" w:space="0"/>
              <w:right w:val="single" w:color="auto" w:sz="4" w:space="0"/>
            </w:tcBorders>
            <w:vAlign w:val="center"/>
          </w:tcPr>
          <w:p w14:paraId="45FC9C52">
            <w:pPr>
              <w:jc w:val="center"/>
              <w:rPr>
                <w:rFonts w:ascii="宋体" w:hAnsi="宋体" w:cs="宋体"/>
                <w:b/>
                <w:bCs/>
                <w:color w:val="FF000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4DC73EF2">
            <w:pPr>
              <w:jc w:val="center"/>
              <w:rPr>
                <w:rFonts w:hint="default" w:ascii="宋体" w:hAnsi="宋体" w:eastAsia="宋体" w:cs="宋体"/>
                <w:bCs/>
                <w:szCs w:val="21"/>
                <w:lang w:val="en-US" w:eastAsia="zh-CN"/>
              </w:rPr>
            </w:pPr>
          </w:p>
        </w:tc>
      </w:tr>
    </w:tbl>
    <w:p w14:paraId="6831C77B">
      <w:pPr>
        <w:numPr>
          <w:ilvl w:val="0"/>
          <w:numId w:val="1"/>
        </w:numPr>
        <w:spacing w:line="360" w:lineRule="auto"/>
        <w:ind w:firstLine="0"/>
        <w:rPr>
          <w:rFonts w:ascii="宋体" w:hAnsi="宋体" w:cs="宋体"/>
          <w:b/>
          <w:bCs/>
          <w:kern w:val="44"/>
          <w:szCs w:val="21"/>
        </w:rPr>
      </w:pPr>
      <w:r>
        <w:rPr>
          <w:rFonts w:hint="eastAsia" w:ascii="宋体" w:hAnsi="宋体" w:cs="宋体"/>
          <w:b/>
          <w:bCs/>
          <w:kern w:val="44"/>
          <w:szCs w:val="21"/>
        </w:rPr>
        <w:t>项目概况</w:t>
      </w:r>
    </w:p>
    <w:p w14:paraId="57278735">
      <w:pPr>
        <w:pStyle w:val="4"/>
        <w:numPr>
          <w:ilvl w:val="0"/>
          <w:numId w:val="2"/>
        </w:numPr>
        <w:spacing w:before="0" w:after="0" w:line="360" w:lineRule="auto"/>
        <w:rPr>
          <w:rFonts w:hint="eastAsia" w:ascii="宋体" w:hAnsi="宋体" w:eastAsia="宋体" w:cs="宋体"/>
          <w:sz w:val="21"/>
          <w:szCs w:val="21"/>
        </w:rPr>
      </w:pPr>
      <w:r>
        <w:rPr>
          <w:rFonts w:hint="eastAsia" w:ascii="宋体" w:hAnsi="宋体" w:eastAsia="宋体" w:cs="宋体"/>
          <w:sz w:val="21"/>
          <w:szCs w:val="21"/>
        </w:rPr>
        <w:t>项目背景</w:t>
      </w:r>
    </w:p>
    <w:p w14:paraId="00447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lang w:val="en-US" w:eastAsia="zh-CN"/>
        </w:rPr>
        <w:t>《三级医院评审标准（2025年版）》中医疗服务能力与质量安全监测指标部分93节203条指标,包括资源配置与运行、医疗服务能力与医院质量安全、重点专业质量控制、单病种(术种)质量控制、重点医疗技术临床应用质量控制等日常监测指标。统计指标约1500多个数据项。要求医院有指定的部门负责收集和处理相关信息，信息数据集中归口管理，方便管理人员调阅使用。定期分析质量安全监测指标变化趋势，并制订本部门质量管理与目标，持续改进有成效。</w:t>
      </w:r>
    </w:p>
    <w:p w14:paraId="79788D92">
      <w:pPr>
        <w:pStyle w:val="4"/>
        <w:numPr>
          <w:ilvl w:val="0"/>
          <w:numId w:val="2"/>
        </w:numPr>
        <w:spacing w:before="0" w:after="0" w:line="360" w:lineRule="auto"/>
        <w:rPr>
          <w:rFonts w:ascii="宋体" w:hAnsi="宋体" w:eastAsia="宋体" w:cs="宋体"/>
          <w:sz w:val="21"/>
          <w:szCs w:val="21"/>
        </w:rPr>
      </w:pPr>
      <w:r>
        <w:rPr>
          <w:rFonts w:hint="eastAsia" w:ascii="宋体" w:hAnsi="宋体" w:eastAsia="宋体" w:cs="宋体"/>
          <w:sz w:val="21"/>
          <w:szCs w:val="21"/>
          <w:lang w:val="en-US" w:eastAsia="zh-CN"/>
        </w:rPr>
        <w:t>项目目标</w:t>
      </w:r>
    </w:p>
    <w:p w14:paraId="430F5221">
      <w:pPr>
        <w:numPr>
          <w:ilvl w:val="0"/>
          <w:numId w:val="3"/>
        </w:num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信息平台的建立为医疗服务能力和质量安全指标提供数据基础支持，确保采购人能顺利通过等级医院</w:t>
      </w:r>
      <w:r>
        <w:rPr>
          <w:rFonts w:hint="eastAsia" w:ascii="宋体" w:hAnsi="宋体" w:cs="宋体"/>
          <w:color w:val="000000" w:themeColor="text1"/>
          <w:lang w:val="en-US" w:eastAsia="zh-CN"/>
          <w14:textFill>
            <w14:solidFill>
              <w14:schemeClr w14:val="tx1"/>
            </w14:solidFill>
          </w14:textFill>
        </w:rPr>
        <w:t>评审</w:t>
      </w:r>
      <w:r>
        <w:rPr>
          <w:rFonts w:hint="eastAsia" w:ascii="宋体" w:hAnsi="宋体" w:cs="宋体"/>
          <w:color w:val="000000" w:themeColor="text1"/>
          <w14:textFill>
            <w14:solidFill>
              <w14:schemeClr w14:val="tx1"/>
            </w14:solidFill>
          </w14:textFill>
        </w:rPr>
        <w:t>。</w:t>
      </w:r>
    </w:p>
    <w:p w14:paraId="719B4226">
      <w:pPr>
        <w:numPr>
          <w:ilvl w:val="0"/>
          <w:numId w:val="3"/>
        </w:num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医疗服务能力质量安全指标实现信息化管理，可整合多个平台数据，改变指标分散管理的现状，统筹院科两级监管体系，有效提升工作效率，有助于科室定期分析指标变化趋势，实现快速发现、快速整改、快速跟踪问题，提升医院管理的系统性和客观性。</w:t>
      </w:r>
    </w:p>
    <w:p w14:paraId="733DA0CB">
      <w:pPr>
        <w:numPr>
          <w:ilvl w:val="0"/>
          <w:numId w:val="3"/>
        </w:num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等级医院评审第二部分</w:t>
      </w:r>
      <w:r>
        <w:rPr>
          <w:rFonts w:hint="eastAsia"/>
          <w:lang w:val="en-US" w:eastAsia="zh-CN"/>
        </w:rPr>
        <w:t>93节203条指标,包括资源配置与运行、医疗服务能力与医院质量安全、重点专业质量控制、单病种(术种)质量控制、重点医疗技术临床应用质量控制等日常监测指标</w:t>
      </w:r>
      <w:r>
        <w:rPr>
          <w:rFonts w:hint="eastAsia" w:ascii="宋体" w:hAnsi="宋体" w:cs="宋体"/>
          <w:color w:val="000000" w:themeColor="text1"/>
          <w14:textFill>
            <w14:solidFill>
              <w14:schemeClr w14:val="tx1"/>
            </w14:solidFill>
          </w14:textFill>
        </w:rPr>
        <w:t>，为目前较为完善的服务质量安全指标体系，建立归口信息平台，为医院</w:t>
      </w:r>
      <w:r>
        <w:rPr>
          <w:rFonts w:hint="eastAsia" w:ascii="宋体" w:hAnsi="宋体" w:cs="宋体"/>
          <w:color w:val="000000" w:themeColor="text1"/>
          <w:lang w:val="en-US" w:eastAsia="zh-CN"/>
          <w14:textFill>
            <w14:solidFill>
              <w14:schemeClr w14:val="tx1"/>
            </w14:solidFill>
          </w14:textFill>
        </w:rPr>
        <w:t>开展三甲评审工作</w:t>
      </w:r>
      <w:r>
        <w:rPr>
          <w:rFonts w:hint="eastAsia" w:ascii="宋体" w:hAnsi="宋体" w:cs="宋体"/>
          <w:color w:val="000000" w:themeColor="text1"/>
          <w14:textFill>
            <w14:solidFill>
              <w14:schemeClr w14:val="tx1"/>
            </w14:solidFill>
          </w14:textFill>
        </w:rPr>
        <w:t>提供可靠的数据支持。</w:t>
      </w:r>
    </w:p>
    <w:p w14:paraId="00A76096">
      <w:pPr>
        <w:numPr>
          <w:ilvl w:val="0"/>
          <w:numId w:val="3"/>
        </w:num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信息平台支持数据挖掘钻取，可详细追踪到每月、每个科室、医生及患者等明细数据，便于精细化管理及绩效考核。</w:t>
      </w:r>
    </w:p>
    <w:p w14:paraId="48254950">
      <w:pPr>
        <w:numPr>
          <w:ilvl w:val="0"/>
          <w:numId w:val="3"/>
        </w:num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信息平台可实现指标动态监测，持续监控，形成指标变化趋势图，为医院的目标达标监测、持续性改进与长远发展提供依据。</w:t>
      </w:r>
    </w:p>
    <w:p w14:paraId="3E4D829A">
      <w:pPr>
        <w:numPr>
          <w:ilvl w:val="0"/>
          <w:numId w:val="3"/>
        </w:num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信息平台支持对科室信息进行核查、增加、删除、修改、历史记录、操作记录可查，同时与其他平台数据进行对比核查，以保障医院服务质量安全数据真实、客观。</w:t>
      </w:r>
    </w:p>
    <w:p w14:paraId="26733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146886A">
      <w:pPr>
        <w:pStyle w:val="4"/>
        <w:numPr>
          <w:ilvl w:val="0"/>
          <w:numId w:val="2"/>
        </w:numPr>
        <w:spacing w:before="0" w:after="0" w:line="360" w:lineRule="auto"/>
        <w:rPr>
          <w:rFonts w:ascii="宋体" w:hAnsi="宋体" w:eastAsia="宋体" w:cs="宋体"/>
          <w:sz w:val="21"/>
          <w:szCs w:val="21"/>
        </w:rPr>
      </w:pPr>
      <w:r>
        <w:rPr>
          <w:rFonts w:hint="eastAsia" w:ascii="宋体" w:hAnsi="宋体" w:eastAsia="宋体" w:cs="宋体"/>
          <w:sz w:val="21"/>
          <w:szCs w:val="21"/>
        </w:rPr>
        <w:t>技术要求</w:t>
      </w:r>
    </w:p>
    <w:p w14:paraId="61DCC320"/>
    <w:tbl>
      <w:tblPr>
        <w:tblStyle w:val="33"/>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1"/>
        <w:gridCol w:w="1060"/>
        <w:gridCol w:w="1056"/>
        <w:gridCol w:w="1476"/>
        <w:gridCol w:w="5436"/>
      </w:tblGrid>
      <w:tr w14:paraId="45E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452" w:type="pct"/>
            <w:vMerge w:val="restart"/>
            <w:shd w:val="clear" w:color="auto" w:fill="auto"/>
            <w:noWrap/>
            <w:vAlign w:val="center"/>
          </w:tcPr>
          <w:p w14:paraId="163E06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r>
              <w:rPr>
                <w:rFonts w:hint="eastAsia" w:ascii="宋体" w:hAnsi="宋体" w:cs="宋体"/>
                <w:i w:val="0"/>
                <w:iCs w:val="0"/>
                <w:color w:val="000000"/>
                <w:kern w:val="2"/>
                <w:sz w:val="21"/>
                <w:szCs w:val="21"/>
                <w:u w:val="none"/>
                <w:lang w:val="en-US" w:eastAsia="zh-CN" w:bidi="ar-SA"/>
              </w:rPr>
              <w:t>39</w:t>
            </w:r>
          </w:p>
        </w:tc>
        <w:tc>
          <w:tcPr>
            <w:tcW w:w="4547" w:type="pct"/>
            <w:gridSpan w:val="4"/>
            <w:shd w:val="clear" w:color="auto" w:fill="auto"/>
            <w:vAlign w:val="center"/>
          </w:tcPr>
          <w:p w14:paraId="200C84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系统要求</w:t>
            </w:r>
          </w:p>
        </w:tc>
      </w:tr>
      <w:tr w14:paraId="097A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52" w:type="pct"/>
            <w:vMerge w:val="continue"/>
            <w:shd w:val="clear" w:color="auto" w:fill="auto"/>
            <w:noWrap/>
            <w:vAlign w:val="center"/>
          </w:tcPr>
          <w:p w14:paraId="1F0E8301">
            <w:pPr>
              <w:jc w:val="center"/>
              <w:rPr>
                <w:rFonts w:hint="eastAsia" w:ascii="宋体" w:hAnsi="宋体" w:eastAsia="宋体" w:cs="宋体"/>
                <w:b/>
                <w:bCs/>
                <w:i w:val="0"/>
                <w:iCs w:val="0"/>
                <w:color w:val="000000"/>
                <w:sz w:val="21"/>
                <w:szCs w:val="21"/>
                <w:u w:val="none"/>
              </w:rPr>
            </w:pPr>
          </w:p>
        </w:tc>
        <w:tc>
          <w:tcPr>
            <w:tcW w:w="532" w:type="pct"/>
            <w:shd w:val="clear" w:color="auto" w:fill="auto"/>
            <w:noWrap/>
            <w:vAlign w:val="center"/>
          </w:tcPr>
          <w:p w14:paraId="0DD6A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建设内容</w:t>
            </w:r>
          </w:p>
        </w:tc>
        <w:tc>
          <w:tcPr>
            <w:tcW w:w="531" w:type="pct"/>
            <w:shd w:val="clear" w:color="auto" w:fill="auto"/>
            <w:noWrap/>
            <w:vAlign w:val="center"/>
          </w:tcPr>
          <w:p w14:paraId="44065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功能模块</w:t>
            </w:r>
          </w:p>
        </w:tc>
        <w:tc>
          <w:tcPr>
            <w:tcW w:w="743" w:type="pct"/>
            <w:shd w:val="clear" w:color="auto" w:fill="auto"/>
            <w:noWrap/>
            <w:vAlign w:val="center"/>
          </w:tcPr>
          <w:p w14:paraId="7594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w:t>
            </w:r>
          </w:p>
        </w:tc>
        <w:tc>
          <w:tcPr>
            <w:tcW w:w="2740" w:type="pct"/>
            <w:shd w:val="clear" w:color="auto" w:fill="auto"/>
            <w:noWrap/>
            <w:vAlign w:val="center"/>
          </w:tcPr>
          <w:p w14:paraId="7C3F6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功能说明</w:t>
            </w:r>
          </w:p>
        </w:tc>
      </w:tr>
      <w:tr w14:paraId="3F2E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452" w:type="pct"/>
            <w:shd w:val="clear" w:color="auto" w:fill="auto"/>
            <w:noWrap/>
            <w:vAlign w:val="center"/>
          </w:tcPr>
          <w:p w14:paraId="41AD844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532" w:type="pct"/>
            <w:shd w:val="clear" w:color="auto" w:fill="auto"/>
            <w:noWrap/>
            <w:vAlign w:val="top"/>
          </w:tcPr>
          <w:p w14:paraId="614603DD">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基础功能</w:t>
            </w:r>
          </w:p>
        </w:tc>
        <w:tc>
          <w:tcPr>
            <w:tcW w:w="531" w:type="pct"/>
            <w:shd w:val="clear" w:color="auto" w:fill="auto"/>
            <w:noWrap/>
            <w:vAlign w:val="center"/>
          </w:tcPr>
          <w:p w14:paraId="77B079C1">
            <w:pPr>
              <w:jc w:val="center"/>
              <w:rPr>
                <w:rFonts w:hint="eastAsia" w:ascii="宋体" w:hAnsi="宋体" w:eastAsia="宋体" w:cs="宋体"/>
                <w:i w:val="0"/>
                <w:iCs w:val="0"/>
                <w:color w:val="000000"/>
                <w:sz w:val="21"/>
                <w:szCs w:val="21"/>
                <w:u w:val="none"/>
              </w:rPr>
            </w:pPr>
          </w:p>
        </w:tc>
        <w:tc>
          <w:tcPr>
            <w:tcW w:w="743" w:type="pct"/>
            <w:shd w:val="clear" w:color="auto" w:fill="auto"/>
            <w:noWrap/>
            <w:vAlign w:val="center"/>
          </w:tcPr>
          <w:p w14:paraId="7D71B1C1">
            <w:pPr>
              <w:jc w:val="center"/>
              <w:rPr>
                <w:rFonts w:hint="eastAsia" w:ascii="宋体" w:hAnsi="宋体" w:eastAsia="宋体" w:cs="宋体"/>
                <w:i w:val="0"/>
                <w:iCs w:val="0"/>
                <w:color w:val="000000"/>
                <w:sz w:val="21"/>
                <w:szCs w:val="21"/>
                <w:u w:val="none"/>
              </w:rPr>
            </w:pPr>
          </w:p>
        </w:tc>
        <w:tc>
          <w:tcPr>
            <w:tcW w:w="2740" w:type="pct"/>
            <w:shd w:val="clear" w:color="auto" w:fill="auto"/>
            <w:noWrap/>
            <w:vAlign w:val="top"/>
          </w:tcPr>
          <w:p w14:paraId="2C1A211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D9B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trPr>
        <w:tc>
          <w:tcPr>
            <w:tcW w:w="452" w:type="pct"/>
            <w:vMerge w:val="restart"/>
            <w:shd w:val="clear" w:color="auto" w:fill="auto"/>
            <w:noWrap/>
            <w:vAlign w:val="center"/>
          </w:tcPr>
          <w:p w14:paraId="01CBC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2" w:type="pct"/>
            <w:vMerge w:val="restart"/>
            <w:shd w:val="clear" w:color="auto" w:fill="auto"/>
            <w:vAlign w:val="center"/>
          </w:tcPr>
          <w:p w14:paraId="01D2C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三甲评审数据指标系统</w:t>
            </w:r>
          </w:p>
        </w:tc>
        <w:tc>
          <w:tcPr>
            <w:tcW w:w="531" w:type="pct"/>
            <w:vMerge w:val="restart"/>
            <w:shd w:val="clear" w:color="auto" w:fill="auto"/>
            <w:noWrap/>
            <w:vAlign w:val="center"/>
          </w:tcPr>
          <w:p w14:paraId="77840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数据集成</w:t>
            </w:r>
          </w:p>
        </w:tc>
        <w:tc>
          <w:tcPr>
            <w:tcW w:w="743" w:type="pct"/>
            <w:vMerge w:val="restart"/>
            <w:shd w:val="clear" w:color="auto" w:fill="auto"/>
            <w:vAlign w:val="center"/>
          </w:tcPr>
          <w:p w14:paraId="2CC7C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异构数据源支持</w:t>
            </w:r>
          </w:p>
        </w:tc>
        <w:tc>
          <w:tcPr>
            <w:tcW w:w="2740" w:type="pct"/>
            <w:shd w:val="clear" w:color="auto" w:fill="auto"/>
            <w:vAlign w:val="top"/>
          </w:tcPr>
          <w:p w14:paraId="2FAF754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（1）支持多源数据源管理功能，不需要业务系统提供业务接口，创建链接业务数据库与数据平台的桥梁，用户创建业务数据库链接后，可通过该链接向对应的业务数据库的数据进行操作。</w:t>
            </w:r>
          </w:p>
        </w:tc>
      </w:tr>
      <w:tr w14:paraId="1406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6CCBA44E">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7B7F7B32">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3A4F8A3A">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569D3619">
            <w:pPr>
              <w:jc w:val="center"/>
              <w:rPr>
                <w:rFonts w:hint="eastAsia" w:ascii="宋体" w:hAnsi="宋体" w:eastAsia="宋体" w:cs="宋体"/>
                <w:i w:val="0"/>
                <w:iCs w:val="0"/>
                <w:color w:val="000000"/>
                <w:sz w:val="21"/>
                <w:szCs w:val="21"/>
                <w:u w:val="none"/>
              </w:rPr>
            </w:pPr>
          </w:p>
        </w:tc>
        <w:tc>
          <w:tcPr>
            <w:tcW w:w="2740" w:type="pct"/>
            <w:shd w:val="clear" w:color="auto" w:fill="auto"/>
            <w:vAlign w:val="top"/>
          </w:tcPr>
          <w:p w14:paraId="603F8C1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（2）支持mysql、sqlserver、oracle、PostgreSQL、GreenPlum、Doris、IRIS、cache、TiDB、Elasticsearch、clickhous 等11种以上主流数据库类型。</w:t>
            </w:r>
          </w:p>
        </w:tc>
      </w:tr>
      <w:tr w14:paraId="35C2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2" w:type="pct"/>
            <w:vMerge w:val="restart"/>
            <w:shd w:val="clear" w:color="auto" w:fill="auto"/>
            <w:noWrap/>
            <w:vAlign w:val="center"/>
          </w:tcPr>
          <w:p w14:paraId="0A360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2" w:type="pct"/>
            <w:vMerge w:val="continue"/>
            <w:shd w:val="clear" w:color="auto" w:fill="auto"/>
            <w:vAlign w:val="center"/>
          </w:tcPr>
          <w:p w14:paraId="6C98B9E8">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441A173C">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11C30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可视化数据采集</w:t>
            </w:r>
          </w:p>
        </w:tc>
        <w:tc>
          <w:tcPr>
            <w:tcW w:w="2740" w:type="pct"/>
            <w:shd w:val="clear" w:color="auto" w:fill="auto"/>
            <w:vAlign w:val="top"/>
          </w:tcPr>
          <w:p w14:paraId="60ABD72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（1）管理离线数据采集任务，用户可通过可视化组件的方式简单便捷配置采集来源和目标去向信息来完成医院各业务系统的离线数据采集和传输，低代码方式高效完成离线数据采集同步。</w:t>
            </w:r>
          </w:p>
        </w:tc>
      </w:tr>
      <w:tr w14:paraId="3401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5C8CDAB1">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5BD2436A">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0FCE8B69">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2E9CD9AD">
            <w:pPr>
              <w:jc w:val="center"/>
              <w:rPr>
                <w:rFonts w:hint="eastAsia" w:ascii="宋体" w:hAnsi="宋体" w:eastAsia="宋体" w:cs="宋体"/>
                <w:i w:val="0"/>
                <w:iCs w:val="0"/>
                <w:color w:val="000000"/>
                <w:sz w:val="21"/>
                <w:szCs w:val="21"/>
                <w:u w:val="none"/>
              </w:rPr>
            </w:pPr>
          </w:p>
        </w:tc>
        <w:tc>
          <w:tcPr>
            <w:tcW w:w="2740" w:type="pct"/>
            <w:shd w:val="clear" w:color="auto" w:fill="auto"/>
            <w:vAlign w:val="top"/>
          </w:tcPr>
          <w:p w14:paraId="3DAEE39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（2）用户可对所有采集任务进行集中化管理和状态监控。</w:t>
            </w:r>
          </w:p>
        </w:tc>
      </w:tr>
      <w:tr w14:paraId="604D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restart"/>
            <w:shd w:val="clear" w:color="auto" w:fill="auto"/>
            <w:noWrap/>
            <w:vAlign w:val="center"/>
          </w:tcPr>
          <w:p w14:paraId="4E3DE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2" w:type="pct"/>
            <w:vMerge w:val="continue"/>
            <w:shd w:val="clear" w:color="auto" w:fill="auto"/>
            <w:vAlign w:val="center"/>
          </w:tcPr>
          <w:p w14:paraId="49A99696">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39CE63D4">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2A332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数据集成一体化</w:t>
            </w:r>
          </w:p>
        </w:tc>
        <w:tc>
          <w:tcPr>
            <w:tcW w:w="2740" w:type="pct"/>
            <w:shd w:val="clear" w:color="auto" w:fill="auto"/>
            <w:vAlign w:val="top"/>
          </w:tcPr>
          <w:p w14:paraId="11384F8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（1）打通元数据、数据采集、任务调度和数据存储多个模块，让用户在同一个页面完成数据集成的全流程实施操作。</w:t>
            </w:r>
          </w:p>
        </w:tc>
      </w:tr>
      <w:tr w14:paraId="02AC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02A7F313">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384B8659">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582116A3">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5A64BED3">
            <w:pPr>
              <w:jc w:val="center"/>
              <w:rPr>
                <w:rFonts w:hint="eastAsia" w:ascii="宋体" w:hAnsi="宋体" w:eastAsia="宋体" w:cs="宋体"/>
                <w:i w:val="0"/>
                <w:iCs w:val="0"/>
                <w:color w:val="000000"/>
                <w:sz w:val="21"/>
                <w:szCs w:val="21"/>
                <w:u w:val="none"/>
              </w:rPr>
            </w:pPr>
          </w:p>
        </w:tc>
        <w:tc>
          <w:tcPr>
            <w:tcW w:w="2740" w:type="pct"/>
            <w:shd w:val="clear" w:color="auto" w:fill="auto"/>
            <w:vAlign w:val="top"/>
          </w:tcPr>
          <w:p w14:paraId="2F5E582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（2）工作台支持单个任务实施和批量任务实施，通过简单的页面配置信息，用户可快速完成多个数据表的端到端同步传输。</w:t>
            </w:r>
          </w:p>
        </w:tc>
      </w:tr>
      <w:tr w14:paraId="0C04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52" w:type="pct"/>
            <w:shd w:val="clear" w:color="auto" w:fill="auto"/>
            <w:noWrap/>
            <w:vAlign w:val="center"/>
          </w:tcPr>
          <w:p w14:paraId="43A12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2" w:type="pct"/>
            <w:vMerge w:val="continue"/>
            <w:shd w:val="clear" w:color="auto" w:fill="auto"/>
            <w:vAlign w:val="center"/>
          </w:tcPr>
          <w:p w14:paraId="16EE75F3">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7C20C03B">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07F99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DAG任务调度</w:t>
            </w:r>
          </w:p>
        </w:tc>
        <w:tc>
          <w:tcPr>
            <w:tcW w:w="2740" w:type="pct"/>
            <w:shd w:val="clear" w:color="auto" w:fill="auto"/>
            <w:vAlign w:val="top"/>
          </w:tcPr>
          <w:p w14:paraId="5F8579D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管理数据开发、统计的工作流和任务的功能，支持SQL、ETL任务等多种数据开发组件，用户可自定义数据节点任务并设置任务之间的先后处理顺序，形成多级依赖处理的工作流，并对工作进行上下线、定时、启停用等管理。</w:t>
            </w:r>
          </w:p>
        </w:tc>
      </w:tr>
      <w:tr w14:paraId="7278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restart"/>
            <w:shd w:val="clear" w:color="auto" w:fill="auto"/>
            <w:noWrap/>
            <w:vAlign w:val="center"/>
          </w:tcPr>
          <w:p w14:paraId="220C8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2" w:type="pct"/>
            <w:vMerge w:val="continue"/>
            <w:shd w:val="clear" w:color="auto" w:fill="auto"/>
            <w:vAlign w:val="center"/>
          </w:tcPr>
          <w:p w14:paraId="09F801A7">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0020FD27">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2B3EE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可视化指标计算工作流</w:t>
            </w:r>
          </w:p>
        </w:tc>
        <w:tc>
          <w:tcPr>
            <w:tcW w:w="2740" w:type="pct"/>
            <w:shd w:val="clear" w:color="auto" w:fill="auto"/>
            <w:vAlign w:val="top"/>
          </w:tcPr>
          <w:p w14:paraId="7F7C212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（1）对指标进行可视化计算流程显示，具备刷新DAG状态、下载工作流图片、流程配置功能。</w:t>
            </w:r>
          </w:p>
        </w:tc>
      </w:tr>
      <w:tr w14:paraId="751D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36109FDD">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7F37E1E3">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67F1D39C">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6A5541F7">
            <w:pPr>
              <w:jc w:val="center"/>
              <w:rPr>
                <w:rFonts w:hint="eastAsia" w:ascii="宋体" w:hAnsi="宋体" w:eastAsia="宋体" w:cs="宋体"/>
                <w:i w:val="0"/>
                <w:iCs w:val="0"/>
                <w:color w:val="000000"/>
                <w:sz w:val="21"/>
                <w:szCs w:val="21"/>
                <w:u w:val="none"/>
              </w:rPr>
            </w:pPr>
          </w:p>
        </w:tc>
        <w:tc>
          <w:tcPr>
            <w:tcW w:w="2740" w:type="pct"/>
            <w:shd w:val="clear" w:color="auto" w:fill="auto"/>
            <w:vAlign w:val="top"/>
          </w:tcPr>
          <w:p w14:paraId="6D470B9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（2）每个节点具备设置任务优先级、SQL语句、前置SQL语句、后置SQL语句功能。</w:t>
            </w:r>
          </w:p>
        </w:tc>
      </w:tr>
      <w:tr w14:paraId="6D9A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1E55B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32" w:type="pct"/>
            <w:vMerge w:val="continue"/>
            <w:shd w:val="clear" w:color="auto" w:fill="auto"/>
            <w:vAlign w:val="center"/>
          </w:tcPr>
          <w:p w14:paraId="2FF6E0E9">
            <w:pPr>
              <w:jc w:val="center"/>
              <w:rPr>
                <w:rFonts w:hint="eastAsia" w:ascii="宋体" w:hAnsi="宋体" w:eastAsia="宋体" w:cs="宋体"/>
                <w:i w:val="0"/>
                <w:iCs w:val="0"/>
                <w:color w:val="000000"/>
                <w:sz w:val="21"/>
                <w:szCs w:val="21"/>
                <w:u w:val="none"/>
              </w:rPr>
            </w:pPr>
          </w:p>
        </w:tc>
        <w:tc>
          <w:tcPr>
            <w:tcW w:w="531" w:type="pct"/>
            <w:vMerge w:val="restart"/>
            <w:shd w:val="clear" w:color="auto" w:fill="auto"/>
            <w:noWrap/>
            <w:vAlign w:val="center"/>
          </w:tcPr>
          <w:p w14:paraId="4161F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指标设置</w:t>
            </w:r>
          </w:p>
        </w:tc>
        <w:tc>
          <w:tcPr>
            <w:tcW w:w="743" w:type="pct"/>
            <w:shd w:val="clear" w:color="auto" w:fill="auto"/>
            <w:vAlign w:val="center"/>
          </w:tcPr>
          <w:p w14:paraId="16938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指标分类管理</w:t>
            </w:r>
          </w:p>
        </w:tc>
        <w:tc>
          <w:tcPr>
            <w:tcW w:w="2740" w:type="pct"/>
            <w:shd w:val="clear" w:color="auto" w:fill="auto"/>
            <w:vAlign w:val="center"/>
          </w:tcPr>
          <w:p w14:paraId="07DF7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实现对系统内</w:t>
            </w:r>
            <w:r>
              <w:rPr>
                <w:rFonts w:hint="eastAsia" w:ascii="宋体" w:hAnsi="宋体" w:cs="宋体"/>
                <w:i w:val="0"/>
                <w:iCs w:val="0"/>
                <w:color w:val="000000"/>
                <w:kern w:val="0"/>
                <w:sz w:val="21"/>
                <w:szCs w:val="21"/>
                <w:u w:val="none"/>
                <w:lang w:val="en-US" w:eastAsia="zh-CN" w:bidi="ar"/>
              </w:rPr>
              <w:t>三甲</w:t>
            </w:r>
            <w:r>
              <w:rPr>
                <w:rFonts w:hint="eastAsia" w:ascii="宋体" w:hAnsi="宋体" w:eastAsia="宋体" w:cs="宋体"/>
                <w:i w:val="0"/>
                <w:iCs w:val="0"/>
                <w:color w:val="000000"/>
                <w:kern w:val="0"/>
                <w:sz w:val="21"/>
                <w:szCs w:val="21"/>
                <w:u w:val="none"/>
                <w:lang w:val="en-US" w:eastAsia="zh-CN" w:bidi="ar"/>
              </w:rPr>
              <w:t>指标体系、指标分类、层级的管理。</w:t>
            </w:r>
          </w:p>
        </w:tc>
      </w:tr>
      <w:tr w14:paraId="70AE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47D58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2" w:type="pct"/>
            <w:vMerge w:val="continue"/>
            <w:shd w:val="clear" w:color="auto" w:fill="auto"/>
            <w:vAlign w:val="center"/>
          </w:tcPr>
          <w:p w14:paraId="0C08074C">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7E1D500C">
            <w:pPr>
              <w:jc w:val="center"/>
              <w:rPr>
                <w:rFonts w:hint="eastAsia" w:ascii="宋体" w:hAnsi="宋体" w:eastAsia="宋体" w:cs="宋体"/>
                <w:i w:val="0"/>
                <w:iCs w:val="0"/>
                <w:color w:val="000000"/>
                <w:sz w:val="21"/>
                <w:szCs w:val="21"/>
                <w:u w:val="none"/>
              </w:rPr>
            </w:pPr>
          </w:p>
        </w:tc>
        <w:tc>
          <w:tcPr>
            <w:tcW w:w="743" w:type="pct"/>
            <w:shd w:val="clear" w:color="auto" w:fill="auto"/>
            <w:noWrap/>
            <w:vAlign w:val="center"/>
          </w:tcPr>
          <w:p w14:paraId="622A5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指标定义</w:t>
            </w:r>
          </w:p>
        </w:tc>
        <w:tc>
          <w:tcPr>
            <w:tcW w:w="2740" w:type="pct"/>
            <w:shd w:val="clear" w:color="auto" w:fill="auto"/>
            <w:vAlign w:val="center"/>
          </w:tcPr>
          <w:p w14:paraId="07535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实现对指标编码、指标名称、指标口径、数据来源等进行定义，包括新增、修改、删除指标。</w:t>
            </w:r>
          </w:p>
        </w:tc>
      </w:tr>
      <w:tr w14:paraId="28A2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52" w:type="pct"/>
            <w:shd w:val="clear" w:color="auto" w:fill="auto"/>
            <w:noWrap/>
            <w:vAlign w:val="center"/>
          </w:tcPr>
          <w:p w14:paraId="3F708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32" w:type="pct"/>
            <w:vMerge w:val="continue"/>
            <w:shd w:val="clear" w:color="auto" w:fill="auto"/>
            <w:vAlign w:val="center"/>
          </w:tcPr>
          <w:p w14:paraId="52EA0ADB">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716C8BEC">
            <w:pPr>
              <w:jc w:val="center"/>
              <w:rPr>
                <w:rFonts w:hint="eastAsia" w:ascii="宋体" w:hAnsi="宋体" w:eastAsia="宋体" w:cs="宋体"/>
                <w:i w:val="0"/>
                <w:iCs w:val="0"/>
                <w:color w:val="000000"/>
                <w:sz w:val="21"/>
                <w:szCs w:val="21"/>
                <w:u w:val="none"/>
              </w:rPr>
            </w:pPr>
          </w:p>
        </w:tc>
        <w:tc>
          <w:tcPr>
            <w:tcW w:w="743" w:type="pct"/>
            <w:shd w:val="clear" w:color="auto" w:fill="auto"/>
            <w:noWrap/>
            <w:vAlign w:val="center"/>
          </w:tcPr>
          <w:p w14:paraId="311CF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分类标准管理</w:t>
            </w:r>
          </w:p>
        </w:tc>
        <w:tc>
          <w:tcPr>
            <w:tcW w:w="2740" w:type="pct"/>
            <w:shd w:val="clear" w:color="auto" w:fill="auto"/>
            <w:vAlign w:val="center"/>
          </w:tcPr>
          <w:p w14:paraId="7BDE54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用于定义指标分类标准，设置每个指标归属在哪些分类下面。</w:t>
            </w:r>
          </w:p>
        </w:tc>
      </w:tr>
      <w:tr w14:paraId="4ED5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1F855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32" w:type="pct"/>
            <w:vMerge w:val="continue"/>
            <w:shd w:val="clear" w:color="auto" w:fill="auto"/>
            <w:vAlign w:val="center"/>
          </w:tcPr>
          <w:p w14:paraId="2B748698">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6E395A86">
            <w:pPr>
              <w:jc w:val="center"/>
              <w:rPr>
                <w:rFonts w:hint="eastAsia" w:ascii="宋体" w:hAnsi="宋体" w:eastAsia="宋体" w:cs="宋体"/>
                <w:i w:val="0"/>
                <w:iCs w:val="0"/>
                <w:color w:val="000000"/>
                <w:sz w:val="21"/>
                <w:szCs w:val="21"/>
                <w:u w:val="none"/>
              </w:rPr>
            </w:pPr>
          </w:p>
        </w:tc>
        <w:tc>
          <w:tcPr>
            <w:tcW w:w="743" w:type="pct"/>
            <w:shd w:val="clear" w:color="auto" w:fill="auto"/>
            <w:noWrap/>
            <w:vAlign w:val="center"/>
          </w:tcPr>
          <w:p w14:paraId="30075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机构指标分类</w:t>
            </w:r>
          </w:p>
        </w:tc>
        <w:tc>
          <w:tcPr>
            <w:tcW w:w="2740" w:type="pct"/>
            <w:shd w:val="clear" w:color="auto" w:fill="auto"/>
            <w:vAlign w:val="center"/>
          </w:tcPr>
          <w:p w14:paraId="0C969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采用树形结构方式展示机构指标分类，点击相应名称可查询指标，支持输入名称进行分类查询，可以查看指标分类名称、分类级别、指标数量。</w:t>
            </w:r>
          </w:p>
        </w:tc>
      </w:tr>
      <w:tr w14:paraId="6DE2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52" w:type="pct"/>
            <w:shd w:val="clear" w:color="auto" w:fill="auto"/>
            <w:noWrap/>
            <w:vAlign w:val="center"/>
          </w:tcPr>
          <w:p w14:paraId="68B70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32" w:type="pct"/>
            <w:vMerge w:val="continue"/>
            <w:shd w:val="clear" w:color="auto" w:fill="auto"/>
            <w:vAlign w:val="center"/>
          </w:tcPr>
          <w:p w14:paraId="1368E323">
            <w:pPr>
              <w:jc w:val="center"/>
              <w:rPr>
                <w:rFonts w:hint="eastAsia" w:ascii="宋体" w:hAnsi="宋体" w:eastAsia="宋体" w:cs="宋体"/>
                <w:i w:val="0"/>
                <w:iCs w:val="0"/>
                <w:color w:val="000000"/>
                <w:sz w:val="21"/>
                <w:szCs w:val="21"/>
                <w:u w:val="none"/>
              </w:rPr>
            </w:pPr>
          </w:p>
        </w:tc>
        <w:tc>
          <w:tcPr>
            <w:tcW w:w="531" w:type="pct"/>
            <w:vMerge w:val="continue"/>
            <w:shd w:val="clear" w:color="auto" w:fill="auto"/>
            <w:noWrap/>
            <w:vAlign w:val="center"/>
          </w:tcPr>
          <w:p w14:paraId="4967F955">
            <w:pPr>
              <w:jc w:val="center"/>
              <w:rPr>
                <w:rFonts w:hint="eastAsia" w:ascii="宋体" w:hAnsi="宋体" w:eastAsia="宋体" w:cs="宋体"/>
                <w:i w:val="0"/>
                <w:iCs w:val="0"/>
                <w:color w:val="000000"/>
                <w:sz w:val="21"/>
                <w:szCs w:val="21"/>
                <w:u w:val="none"/>
              </w:rPr>
            </w:pPr>
          </w:p>
        </w:tc>
        <w:tc>
          <w:tcPr>
            <w:tcW w:w="743" w:type="pct"/>
            <w:shd w:val="clear" w:color="auto" w:fill="auto"/>
            <w:noWrap/>
            <w:vAlign w:val="center"/>
          </w:tcPr>
          <w:p w14:paraId="4A613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机构指标管理</w:t>
            </w:r>
          </w:p>
        </w:tc>
        <w:tc>
          <w:tcPr>
            <w:tcW w:w="2740" w:type="pct"/>
            <w:shd w:val="clear" w:color="auto" w:fill="auto"/>
            <w:vAlign w:val="center"/>
          </w:tcPr>
          <w:p w14:paraId="79055E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在区域多机构的情况下，设置每个医疗机构的指标范围，包括设置参考值、指标目标值等。</w:t>
            </w:r>
          </w:p>
        </w:tc>
      </w:tr>
      <w:tr w14:paraId="444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581BA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32" w:type="pct"/>
            <w:vMerge w:val="continue"/>
            <w:shd w:val="clear" w:color="auto" w:fill="auto"/>
            <w:vAlign w:val="center"/>
          </w:tcPr>
          <w:p w14:paraId="0EB76B32">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2244A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指标填报</w:t>
            </w:r>
          </w:p>
        </w:tc>
        <w:tc>
          <w:tcPr>
            <w:tcW w:w="743" w:type="pct"/>
            <w:shd w:val="clear" w:color="auto" w:fill="auto"/>
            <w:vAlign w:val="center"/>
          </w:tcPr>
          <w:p w14:paraId="1CEB9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填报表单分类</w:t>
            </w:r>
          </w:p>
        </w:tc>
        <w:tc>
          <w:tcPr>
            <w:tcW w:w="2740" w:type="pct"/>
            <w:shd w:val="clear" w:color="auto" w:fill="auto"/>
            <w:vAlign w:val="center"/>
          </w:tcPr>
          <w:p w14:paraId="3FCE4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支持按指标分类、医院科室进行表单管理，可以定义每个指标填报表单的名称及对应的种类。</w:t>
            </w:r>
          </w:p>
        </w:tc>
      </w:tr>
      <w:tr w14:paraId="0508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vMerge w:val="restart"/>
            <w:shd w:val="clear" w:color="auto" w:fill="auto"/>
            <w:noWrap/>
            <w:vAlign w:val="center"/>
          </w:tcPr>
          <w:p w14:paraId="459FE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32" w:type="pct"/>
            <w:vMerge w:val="continue"/>
            <w:shd w:val="clear" w:color="auto" w:fill="auto"/>
            <w:vAlign w:val="center"/>
          </w:tcPr>
          <w:p w14:paraId="1174000A">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E42740C">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4E9BD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填报表单配置</w:t>
            </w:r>
          </w:p>
        </w:tc>
        <w:tc>
          <w:tcPr>
            <w:tcW w:w="2740" w:type="pct"/>
            <w:shd w:val="clear" w:color="auto" w:fill="auto"/>
            <w:vAlign w:val="center"/>
          </w:tcPr>
          <w:p w14:paraId="43D7DC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（1）配置和定义填报表单内容，使用自定义表单功能实现对无法采集数据的指标进行填报。</w:t>
            </w:r>
          </w:p>
        </w:tc>
      </w:tr>
      <w:tr w14:paraId="0350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0ED2E09F">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72B29120">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2A72ECF2">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4F3AD012">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43F30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（2）支持复制表单、预览表单，批量删除表单。在表单内容中，可以设置列名、字段名、默认值、数据类型等信息。</w:t>
            </w:r>
          </w:p>
        </w:tc>
      </w:tr>
      <w:tr w14:paraId="6335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0C67D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32" w:type="pct"/>
            <w:vMerge w:val="continue"/>
            <w:shd w:val="clear" w:color="auto" w:fill="auto"/>
            <w:vAlign w:val="center"/>
          </w:tcPr>
          <w:p w14:paraId="77A3FDA6">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32A1F2F3">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60B78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填报任务发起</w:t>
            </w:r>
          </w:p>
        </w:tc>
        <w:tc>
          <w:tcPr>
            <w:tcW w:w="2740" w:type="pct"/>
            <w:shd w:val="clear" w:color="auto" w:fill="auto"/>
            <w:vAlign w:val="center"/>
          </w:tcPr>
          <w:p w14:paraId="402CD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发起任务给责任科室的人员进行数据填报。支持暂停、发送功能。</w:t>
            </w:r>
          </w:p>
        </w:tc>
      </w:tr>
      <w:tr w14:paraId="182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7E393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32" w:type="pct"/>
            <w:vMerge w:val="continue"/>
            <w:shd w:val="clear" w:color="auto" w:fill="auto"/>
            <w:vAlign w:val="center"/>
          </w:tcPr>
          <w:p w14:paraId="552D5DC8">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6E0EB7A5">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751F0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填报任务接收</w:t>
            </w:r>
          </w:p>
        </w:tc>
        <w:tc>
          <w:tcPr>
            <w:tcW w:w="2740" w:type="pct"/>
            <w:shd w:val="clear" w:color="auto" w:fill="auto"/>
            <w:vAlign w:val="center"/>
          </w:tcPr>
          <w:p w14:paraId="3D64E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接受填报任务，开展数据填报，支持手工填报和数据导入填报。</w:t>
            </w:r>
          </w:p>
        </w:tc>
      </w:tr>
      <w:tr w14:paraId="1D0D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trPr>
        <w:tc>
          <w:tcPr>
            <w:tcW w:w="452" w:type="pct"/>
            <w:shd w:val="clear" w:color="auto" w:fill="auto"/>
            <w:noWrap/>
            <w:vAlign w:val="center"/>
          </w:tcPr>
          <w:p w14:paraId="13416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32" w:type="pct"/>
            <w:vMerge w:val="continue"/>
            <w:shd w:val="clear" w:color="auto" w:fill="auto"/>
            <w:vAlign w:val="center"/>
          </w:tcPr>
          <w:p w14:paraId="629421EC">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53DDF12F">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09D26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指标填报</w:t>
            </w:r>
          </w:p>
        </w:tc>
        <w:tc>
          <w:tcPr>
            <w:tcW w:w="2740" w:type="pct"/>
            <w:shd w:val="clear" w:color="auto" w:fill="auto"/>
            <w:vAlign w:val="center"/>
          </w:tcPr>
          <w:p w14:paraId="4DE94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对应指标数据的表单填报功能，实现没有数据来源指标的数据人工填报，支持分子、分母直接录入及通过病案号、姓名检索确定分子、分母明细数据录入，填报后数据所见即所得。</w:t>
            </w:r>
          </w:p>
        </w:tc>
      </w:tr>
      <w:tr w14:paraId="4792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36C22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32" w:type="pct"/>
            <w:vMerge w:val="continue"/>
            <w:shd w:val="clear" w:color="auto" w:fill="auto"/>
            <w:vAlign w:val="center"/>
          </w:tcPr>
          <w:p w14:paraId="48F1FCDE">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37CF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指标核准</w:t>
            </w:r>
          </w:p>
        </w:tc>
        <w:tc>
          <w:tcPr>
            <w:tcW w:w="743" w:type="pct"/>
            <w:shd w:val="clear" w:color="auto" w:fill="auto"/>
            <w:vAlign w:val="center"/>
          </w:tcPr>
          <w:p w14:paraId="4CC8B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数据核对校正</w:t>
            </w:r>
          </w:p>
        </w:tc>
        <w:tc>
          <w:tcPr>
            <w:tcW w:w="2740" w:type="pct"/>
            <w:shd w:val="clear" w:color="auto" w:fill="auto"/>
            <w:vAlign w:val="center"/>
          </w:tcPr>
          <w:p w14:paraId="7B0D9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支持复核后的数据进行校正操作。</w:t>
            </w:r>
          </w:p>
        </w:tc>
      </w:tr>
      <w:tr w14:paraId="66FD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1092C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32" w:type="pct"/>
            <w:vMerge w:val="continue"/>
            <w:shd w:val="clear" w:color="auto" w:fill="auto"/>
            <w:vAlign w:val="center"/>
          </w:tcPr>
          <w:p w14:paraId="41D6ECD6">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1F890B89">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2C177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数据核对配置</w:t>
            </w:r>
          </w:p>
        </w:tc>
        <w:tc>
          <w:tcPr>
            <w:tcW w:w="2740" w:type="pct"/>
            <w:shd w:val="clear" w:color="auto" w:fill="auto"/>
            <w:vAlign w:val="center"/>
          </w:tcPr>
          <w:p w14:paraId="27F64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用于配置数据核对、复核人员的权限，可精确到具体的指标。</w:t>
            </w:r>
          </w:p>
        </w:tc>
      </w:tr>
      <w:tr w14:paraId="6AF2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437CA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32" w:type="pct"/>
            <w:vMerge w:val="continue"/>
            <w:shd w:val="clear" w:color="auto" w:fill="auto"/>
            <w:vAlign w:val="center"/>
          </w:tcPr>
          <w:p w14:paraId="031E054E">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7430470">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09155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指标核对标识</w:t>
            </w:r>
          </w:p>
        </w:tc>
        <w:tc>
          <w:tcPr>
            <w:tcW w:w="2740" w:type="pct"/>
            <w:shd w:val="clear" w:color="auto" w:fill="auto"/>
            <w:vAlign w:val="center"/>
          </w:tcPr>
          <w:p w14:paraId="580C8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对指标数据，责任科室是否复核完成进行打标签，并可按照已核对、未核对进行筛选。</w:t>
            </w:r>
          </w:p>
        </w:tc>
      </w:tr>
      <w:tr w14:paraId="25A8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trPr>
        <w:tc>
          <w:tcPr>
            <w:tcW w:w="452" w:type="pct"/>
            <w:shd w:val="clear" w:color="auto" w:fill="auto"/>
            <w:noWrap/>
            <w:vAlign w:val="center"/>
          </w:tcPr>
          <w:p w14:paraId="25E7C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32" w:type="pct"/>
            <w:vMerge w:val="continue"/>
            <w:shd w:val="clear" w:color="auto" w:fill="auto"/>
            <w:vAlign w:val="center"/>
          </w:tcPr>
          <w:p w14:paraId="00908F6A">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3BCD3C6">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14A12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数据核对</w:t>
            </w:r>
          </w:p>
        </w:tc>
        <w:tc>
          <w:tcPr>
            <w:tcW w:w="2740" w:type="pct"/>
            <w:shd w:val="clear" w:color="auto" w:fill="auto"/>
            <w:vAlign w:val="center"/>
          </w:tcPr>
          <w:p w14:paraId="63702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对该指标分子、分母的明细数据进行核对及标记，可剔除某个明细数据不纳入计算并对标记情况进行统计，可导出EXCEL进行核对，并对核对后的数据进行复核。</w:t>
            </w:r>
          </w:p>
        </w:tc>
      </w:tr>
      <w:tr w14:paraId="2D5F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2" w:type="pct"/>
            <w:shd w:val="clear" w:color="auto" w:fill="auto"/>
            <w:noWrap/>
            <w:vAlign w:val="center"/>
          </w:tcPr>
          <w:p w14:paraId="506CC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32" w:type="pct"/>
            <w:vMerge w:val="continue"/>
            <w:shd w:val="clear" w:color="auto" w:fill="auto"/>
            <w:vAlign w:val="center"/>
          </w:tcPr>
          <w:p w14:paraId="172DC410">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0961F70A">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7F2C4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指标数据复核</w:t>
            </w:r>
          </w:p>
        </w:tc>
        <w:tc>
          <w:tcPr>
            <w:tcW w:w="2740" w:type="pct"/>
            <w:shd w:val="clear" w:color="auto" w:fill="auto"/>
            <w:vAlign w:val="center"/>
          </w:tcPr>
          <w:p w14:paraId="2E4F2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对核对后的指标明细数据进行整体复核，可以拒绝或接受剔除的数据，复核后的数据能够及时刷新、实时计算，成为新的统计指标。</w:t>
            </w:r>
          </w:p>
        </w:tc>
      </w:tr>
      <w:tr w14:paraId="3348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0D3FC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32" w:type="pct"/>
            <w:vMerge w:val="continue"/>
            <w:shd w:val="clear" w:color="auto" w:fill="auto"/>
            <w:vAlign w:val="center"/>
          </w:tcPr>
          <w:p w14:paraId="448567ED">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7312A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指标浏览</w:t>
            </w:r>
          </w:p>
        </w:tc>
        <w:tc>
          <w:tcPr>
            <w:tcW w:w="743" w:type="pct"/>
            <w:shd w:val="clear" w:color="auto" w:fill="auto"/>
            <w:vAlign w:val="center"/>
          </w:tcPr>
          <w:p w14:paraId="0AD0B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指标搜索</w:t>
            </w:r>
          </w:p>
        </w:tc>
        <w:tc>
          <w:tcPr>
            <w:tcW w:w="2740" w:type="pct"/>
            <w:shd w:val="clear" w:color="auto" w:fill="auto"/>
            <w:vAlign w:val="center"/>
          </w:tcPr>
          <w:p w14:paraId="61717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可通过关键字在指标树中快速搜索定位指标，支持关键字模糊查询，查询结果按指标分类目录进行树形显示。</w:t>
            </w:r>
          </w:p>
        </w:tc>
      </w:tr>
      <w:tr w14:paraId="024A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vMerge w:val="restart"/>
            <w:shd w:val="clear" w:color="auto" w:fill="auto"/>
            <w:noWrap/>
            <w:vAlign w:val="center"/>
          </w:tcPr>
          <w:p w14:paraId="34A76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32" w:type="pct"/>
            <w:vMerge w:val="continue"/>
            <w:shd w:val="clear" w:color="auto" w:fill="auto"/>
            <w:vAlign w:val="center"/>
          </w:tcPr>
          <w:p w14:paraId="38BD45C7">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99BCB51">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2465D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指标数据查看</w:t>
            </w:r>
          </w:p>
        </w:tc>
        <w:tc>
          <w:tcPr>
            <w:tcW w:w="2740" w:type="pct"/>
            <w:shd w:val="clear" w:color="auto" w:fill="auto"/>
            <w:vAlign w:val="center"/>
          </w:tcPr>
          <w:p w14:paraId="795A6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（1）用户查询各机构在各类指标体系下的指标统计数据，可按照科室、时间维度查询。</w:t>
            </w:r>
          </w:p>
        </w:tc>
      </w:tr>
      <w:tr w14:paraId="6E5A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5AF52BB2">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7EDB76C6">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D2F262F">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640C02C4">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7EA87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（2）系统具备使用病案号、姓名等信息检索功能，并可在系统内查看相关病例完整病案首页等信息。</w:t>
            </w:r>
          </w:p>
        </w:tc>
      </w:tr>
      <w:tr w14:paraId="2E77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01D75056">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2CFDB70A">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182A569">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29C486A0">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5C9AFC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（3）系统可自由定制及编辑的查询统计表格，并可对表格内相关指标统计分析，以满足日常医疗质量管理需要。</w:t>
            </w:r>
          </w:p>
        </w:tc>
      </w:tr>
      <w:tr w14:paraId="2CA3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5AE5B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32" w:type="pct"/>
            <w:vMerge w:val="continue"/>
            <w:shd w:val="clear" w:color="auto" w:fill="auto"/>
            <w:vAlign w:val="center"/>
          </w:tcPr>
          <w:p w14:paraId="0A7F0A8D">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DF662A3">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16940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指标快捷入口设置</w:t>
            </w:r>
          </w:p>
        </w:tc>
        <w:tc>
          <w:tcPr>
            <w:tcW w:w="2740" w:type="pct"/>
            <w:shd w:val="clear" w:color="auto" w:fill="auto"/>
            <w:vAlign w:val="center"/>
          </w:tcPr>
          <w:p w14:paraId="06471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用于设置每个指标在发起PDCA、关注指标、指标分析报告功能的快捷方式。</w:t>
            </w:r>
          </w:p>
        </w:tc>
      </w:tr>
      <w:tr w14:paraId="2156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32CD0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32" w:type="pct"/>
            <w:vMerge w:val="continue"/>
            <w:shd w:val="clear" w:color="auto" w:fill="auto"/>
            <w:vAlign w:val="center"/>
          </w:tcPr>
          <w:p w14:paraId="5E525057">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9E9168D">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5772E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指标树形展示</w:t>
            </w:r>
          </w:p>
        </w:tc>
        <w:tc>
          <w:tcPr>
            <w:tcW w:w="2740" w:type="pct"/>
            <w:shd w:val="clear" w:color="auto" w:fill="auto"/>
            <w:vAlign w:val="center"/>
          </w:tcPr>
          <w:p w14:paraId="1BC7E8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对系统建模完成的指标进行树形机构展示，可一键展开所有指标，也可逐级点击展示，可按照指标定义的层级进行分别浏览。</w:t>
            </w:r>
          </w:p>
        </w:tc>
      </w:tr>
      <w:tr w14:paraId="76F7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0C431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32" w:type="pct"/>
            <w:vMerge w:val="continue"/>
            <w:shd w:val="clear" w:color="auto" w:fill="auto"/>
            <w:vAlign w:val="center"/>
          </w:tcPr>
          <w:p w14:paraId="6C123C9E">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53D3EC57">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79D24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指标BI展示</w:t>
            </w:r>
          </w:p>
        </w:tc>
        <w:tc>
          <w:tcPr>
            <w:tcW w:w="2740" w:type="pct"/>
            <w:shd w:val="clear" w:color="auto" w:fill="auto"/>
            <w:vAlign w:val="center"/>
          </w:tcPr>
          <w:p w14:paraId="0CD95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嵌入指标BI页面，通过每个指标的BI配置后的URL嵌入，可进行传参，可按照时间和机构维度进行查询。</w:t>
            </w:r>
          </w:p>
        </w:tc>
      </w:tr>
      <w:tr w14:paraId="2B37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691EA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32" w:type="pct"/>
            <w:vMerge w:val="continue"/>
            <w:shd w:val="clear" w:color="auto" w:fill="auto"/>
            <w:vAlign w:val="center"/>
          </w:tcPr>
          <w:p w14:paraId="12E7FAF5">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AD2FAAF">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22CB55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指标说明</w:t>
            </w:r>
          </w:p>
        </w:tc>
        <w:tc>
          <w:tcPr>
            <w:tcW w:w="2740" w:type="pct"/>
            <w:shd w:val="clear" w:color="auto" w:fill="auto"/>
            <w:vAlign w:val="center"/>
          </w:tcPr>
          <w:p w14:paraId="2473A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展现指标口径定义，详细展示指标导向、指标属性、指标说明、指标口径、指标来源等。</w:t>
            </w:r>
          </w:p>
        </w:tc>
      </w:tr>
      <w:tr w14:paraId="6291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vMerge w:val="restart"/>
            <w:shd w:val="clear" w:color="auto" w:fill="auto"/>
            <w:noWrap/>
            <w:vAlign w:val="center"/>
          </w:tcPr>
          <w:p w14:paraId="6F0A3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32" w:type="pct"/>
            <w:vMerge w:val="continue"/>
            <w:shd w:val="clear" w:color="auto" w:fill="auto"/>
            <w:vAlign w:val="center"/>
          </w:tcPr>
          <w:p w14:paraId="7A55934F">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0BFBC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指标监测</w:t>
            </w:r>
          </w:p>
        </w:tc>
        <w:tc>
          <w:tcPr>
            <w:tcW w:w="743" w:type="pct"/>
            <w:vMerge w:val="restart"/>
            <w:shd w:val="clear" w:color="auto" w:fill="auto"/>
            <w:vAlign w:val="center"/>
          </w:tcPr>
          <w:p w14:paraId="44418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重点指标监测</w:t>
            </w:r>
          </w:p>
        </w:tc>
        <w:tc>
          <w:tcPr>
            <w:tcW w:w="2740" w:type="pct"/>
            <w:shd w:val="clear" w:color="auto" w:fill="auto"/>
            <w:vAlign w:val="center"/>
          </w:tcPr>
          <w:p w14:paraId="3EDEC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（1）首页用于配置展示重点关注、订阅指标的数据报表，以数据宫格的方式展示，数据与数仓进行关联展示。</w:t>
            </w:r>
          </w:p>
        </w:tc>
      </w:tr>
      <w:tr w14:paraId="6C42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2D419AA9">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1557EA6F">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6D701A89">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7FBD68F9">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27A51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（2）用户可个性化定制自己关注的指标内容、显示格式，对关注指标进行重点监测、持续监控。</w:t>
            </w:r>
          </w:p>
        </w:tc>
      </w:tr>
      <w:tr w14:paraId="14B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452" w:type="pct"/>
            <w:vMerge w:val="restart"/>
            <w:shd w:val="clear" w:color="auto" w:fill="auto"/>
            <w:noWrap/>
            <w:vAlign w:val="center"/>
          </w:tcPr>
          <w:p w14:paraId="4BC58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32" w:type="pct"/>
            <w:vMerge w:val="continue"/>
            <w:shd w:val="clear" w:color="auto" w:fill="auto"/>
            <w:vAlign w:val="center"/>
          </w:tcPr>
          <w:p w14:paraId="02D48E8B">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565730F">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50F4B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目标监测追踪</w:t>
            </w:r>
          </w:p>
        </w:tc>
        <w:tc>
          <w:tcPr>
            <w:tcW w:w="2740" w:type="pct"/>
            <w:shd w:val="clear" w:color="auto" w:fill="auto"/>
            <w:vAlign w:val="center"/>
          </w:tcPr>
          <w:p w14:paraId="07859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系统设置的指标目标监测，按照监测频率推送监测消息，可按照指标、监测频率、监测单元、目标达成状态进行消息的查询和消息的跟踪。如：针对医疗质量安全数据，能形成各临床医技科室质量安全分析报告并推送至相应科室，实时监测医疗安全情况。科室可针对数据形成整改意见反馈至主管部门，防范医疗风险。</w:t>
            </w:r>
          </w:p>
        </w:tc>
      </w:tr>
      <w:tr w14:paraId="6F2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trPr>
        <w:tc>
          <w:tcPr>
            <w:tcW w:w="452" w:type="pct"/>
            <w:vMerge w:val="continue"/>
            <w:shd w:val="clear" w:color="auto" w:fill="auto"/>
            <w:noWrap/>
            <w:vAlign w:val="center"/>
          </w:tcPr>
          <w:p w14:paraId="421F6B55">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1A02D4B2">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378F0191">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69E95AAC">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299B74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针对单病种数据，能形成院级、科室层面包含病例数量、上报率、平均住院日、次均费用、病死率、并发症发生率、各条目完成率、病种组合完成率等国家要求指标的统计报表及分析报告，并推送至相应科室。</w:t>
            </w:r>
          </w:p>
        </w:tc>
      </w:tr>
      <w:tr w14:paraId="7F68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2" w:type="pct"/>
            <w:shd w:val="clear" w:color="auto" w:fill="auto"/>
            <w:noWrap/>
            <w:vAlign w:val="center"/>
          </w:tcPr>
          <w:p w14:paraId="13AB4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32" w:type="pct"/>
            <w:vMerge w:val="continue"/>
            <w:shd w:val="clear" w:color="auto" w:fill="auto"/>
            <w:vAlign w:val="center"/>
          </w:tcPr>
          <w:p w14:paraId="122E6097">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1AB4F0E">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76A74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监测任务配置</w:t>
            </w:r>
          </w:p>
        </w:tc>
        <w:tc>
          <w:tcPr>
            <w:tcW w:w="2740" w:type="pct"/>
            <w:shd w:val="clear" w:color="auto" w:fill="auto"/>
            <w:vAlign w:val="center"/>
          </w:tcPr>
          <w:p w14:paraId="41A46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进行自定义创建监测任务配置，对指标进行年度、月度不同频率进行检查，并支持监控消息推送，接收监测消息提醒。可对监控任务配置进行启动、停用、删除操作。</w:t>
            </w:r>
          </w:p>
        </w:tc>
      </w:tr>
      <w:tr w14:paraId="3ADF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vMerge w:val="restart"/>
            <w:shd w:val="clear" w:color="auto" w:fill="auto"/>
            <w:noWrap/>
            <w:vAlign w:val="center"/>
          </w:tcPr>
          <w:p w14:paraId="26E99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32" w:type="pct"/>
            <w:vMerge w:val="continue"/>
            <w:shd w:val="clear" w:color="auto" w:fill="auto"/>
            <w:vAlign w:val="center"/>
          </w:tcPr>
          <w:p w14:paraId="285FDB8C">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3FB5F9E7">
            <w:pPr>
              <w:jc w:val="center"/>
              <w:rPr>
                <w:rFonts w:hint="eastAsia" w:ascii="宋体" w:hAnsi="宋体" w:eastAsia="宋体" w:cs="宋体"/>
                <w:i w:val="0"/>
                <w:iCs w:val="0"/>
                <w:color w:val="000000"/>
                <w:sz w:val="21"/>
                <w:szCs w:val="21"/>
                <w:u w:val="none"/>
              </w:rPr>
            </w:pPr>
          </w:p>
        </w:tc>
        <w:tc>
          <w:tcPr>
            <w:tcW w:w="743" w:type="pct"/>
            <w:vMerge w:val="restart"/>
            <w:shd w:val="clear" w:color="auto" w:fill="auto"/>
            <w:vAlign w:val="center"/>
          </w:tcPr>
          <w:p w14:paraId="7BEB3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指标异常监控</w:t>
            </w:r>
          </w:p>
        </w:tc>
        <w:tc>
          <w:tcPr>
            <w:tcW w:w="2740" w:type="pct"/>
            <w:shd w:val="clear" w:color="auto" w:fill="auto"/>
            <w:vAlign w:val="center"/>
          </w:tcPr>
          <w:p w14:paraId="1BE5A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（1）支持对异常指标进行实时监控，在进入系统时进行及时提醒。（提供系统界面截图）</w:t>
            </w:r>
          </w:p>
        </w:tc>
      </w:tr>
      <w:tr w14:paraId="4ACC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2" w:type="pct"/>
            <w:vMerge w:val="continue"/>
            <w:shd w:val="clear" w:color="auto" w:fill="auto"/>
            <w:noWrap/>
            <w:vAlign w:val="center"/>
          </w:tcPr>
          <w:p w14:paraId="2BBF8530">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3D6BD310">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64BFF724">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68CCCAE4">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3AE58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（2）用户设定好异常指标的监控策略后，每次用户登录系统，系统将对异常指标进行弹窗提醒，用户可以查看指标分类、年份、指标质量监控条件、异常指标条数。</w:t>
            </w:r>
          </w:p>
        </w:tc>
      </w:tr>
      <w:tr w14:paraId="2915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52" w:type="pct"/>
            <w:vMerge w:val="continue"/>
            <w:shd w:val="clear" w:color="auto" w:fill="auto"/>
            <w:noWrap/>
            <w:vAlign w:val="center"/>
          </w:tcPr>
          <w:p w14:paraId="1B986219">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280B522B">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0012A234">
            <w:pPr>
              <w:jc w:val="center"/>
              <w:rPr>
                <w:rFonts w:hint="eastAsia" w:ascii="宋体" w:hAnsi="宋体" w:eastAsia="宋体" w:cs="宋体"/>
                <w:i w:val="0"/>
                <w:iCs w:val="0"/>
                <w:color w:val="000000"/>
                <w:sz w:val="21"/>
                <w:szCs w:val="21"/>
                <w:u w:val="none"/>
              </w:rPr>
            </w:pPr>
          </w:p>
        </w:tc>
        <w:tc>
          <w:tcPr>
            <w:tcW w:w="743" w:type="pct"/>
            <w:vMerge w:val="continue"/>
            <w:shd w:val="clear" w:color="auto" w:fill="auto"/>
            <w:vAlign w:val="center"/>
          </w:tcPr>
          <w:p w14:paraId="7DA3FCDF">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1C1844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（3）用户点击异常数字可显示异常指标明细。</w:t>
            </w:r>
          </w:p>
        </w:tc>
      </w:tr>
      <w:tr w14:paraId="153E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6067DA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532" w:type="pct"/>
            <w:vMerge w:val="continue"/>
            <w:shd w:val="clear" w:color="auto" w:fill="auto"/>
            <w:vAlign w:val="center"/>
          </w:tcPr>
          <w:p w14:paraId="627836AB">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5A603F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743" w:type="pct"/>
            <w:shd w:val="clear" w:color="auto" w:fill="auto"/>
            <w:vAlign w:val="center"/>
          </w:tcPr>
          <w:p w14:paraId="7EBC8D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指标持续改进</w:t>
            </w:r>
          </w:p>
        </w:tc>
        <w:tc>
          <w:tcPr>
            <w:tcW w:w="2740" w:type="pct"/>
            <w:shd w:val="clear" w:color="auto" w:fill="auto"/>
            <w:vAlign w:val="center"/>
          </w:tcPr>
          <w:p w14:paraId="42AE6A9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（4）用户可以在异常监控页面直接发起PDCA整改任务。</w:t>
            </w:r>
          </w:p>
        </w:tc>
      </w:tr>
      <w:tr w14:paraId="0183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5E9C31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532" w:type="pct"/>
            <w:vMerge w:val="continue"/>
            <w:shd w:val="clear" w:color="auto" w:fill="auto"/>
            <w:vAlign w:val="center"/>
          </w:tcPr>
          <w:p w14:paraId="1D08D8DB">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0B05A1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移动端</w:t>
            </w:r>
          </w:p>
        </w:tc>
        <w:tc>
          <w:tcPr>
            <w:tcW w:w="743" w:type="pct"/>
            <w:shd w:val="clear" w:color="auto" w:fill="auto"/>
            <w:vAlign w:val="center"/>
          </w:tcPr>
          <w:p w14:paraId="301D4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手工</w:t>
            </w:r>
            <w:r>
              <w:rPr>
                <w:rFonts w:hint="eastAsia" w:ascii="宋体" w:hAnsi="宋体" w:cs="宋体"/>
                <w:i w:val="0"/>
                <w:iCs w:val="0"/>
                <w:color w:val="000000"/>
                <w:kern w:val="0"/>
                <w:sz w:val="21"/>
                <w:szCs w:val="21"/>
                <w:u w:val="none"/>
                <w:lang w:val="en-US" w:eastAsia="zh-CN" w:bidi="ar"/>
              </w:rPr>
              <w:t>填报</w:t>
            </w:r>
            <w:r>
              <w:rPr>
                <w:rFonts w:hint="eastAsia" w:ascii="宋体" w:hAnsi="宋体" w:eastAsia="宋体" w:cs="宋体"/>
                <w:i w:val="0"/>
                <w:iCs w:val="0"/>
                <w:color w:val="000000"/>
                <w:kern w:val="0"/>
                <w:sz w:val="21"/>
                <w:szCs w:val="21"/>
                <w:u w:val="none"/>
                <w:lang w:val="en-US" w:eastAsia="zh-CN" w:bidi="ar"/>
              </w:rPr>
              <w:t>提醒</w:t>
            </w:r>
          </w:p>
        </w:tc>
        <w:tc>
          <w:tcPr>
            <w:tcW w:w="2740" w:type="pct"/>
            <w:shd w:val="clear" w:color="auto" w:fill="auto"/>
            <w:vAlign w:val="center"/>
          </w:tcPr>
          <w:p w14:paraId="6D0FD9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支持对手工填报指标进行企业微信提醒，支持自定义提醒时间及次数。</w:t>
            </w:r>
          </w:p>
        </w:tc>
      </w:tr>
      <w:tr w14:paraId="55FE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05A0D1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532" w:type="pct"/>
            <w:vMerge w:val="continue"/>
            <w:shd w:val="clear" w:color="auto" w:fill="auto"/>
            <w:vAlign w:val="center"/>
          </w:tcPr>
          <w:p w14:paraId="04F5738A">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62CC8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3" w:type="pct"/>
            <w:shd w:val="clear" w:color="auto" w:fill="auto"/>
            <w:vAlign w:val="center"/>
          </w:tcPr>
          <w:p w14:paraId="65A018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指标提醒</w:t>
            </w:r>
          </w:p>
        </w:tc>
        <w:tc>
          <w:tcPr>
            <w:tcW w:w="2740" w:type="pct"/>
            <w:shd w:val="clear" w:color="auto" w:fill="auto"/>
            <w:vAlign w:val="center"/>
          </w:tcPr>
          <w:p w14:paraId="06E220C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用户在移动端可及时收到指标异常的提示消息。</w:t>
            </w:r>
          </w:p>
        </w:tc>
      </w:tr>
      <w:tr w14:paraId="4638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3823FB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532" w:type="pct"/>
            <w:vMerge w:val="continue"/>
            <w:shd w:val="clear" w:color="auto" w:fill="auto"/>
            <w:vAlign w:val="center"/>
          </w:tcPr>
          <w:p w14:paraId="66851F6C">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14006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PDCA改进</w:t>
            </w:r>
          </w:p>
        </w:tc>
        <w:tc>
          <w:tcPr>
            <w:tcW w:w="743" w:type="pct"/>
            <w:shd w:val="clear" w:color="auto" w:fill="auto"/>
            <w:vAlign w:val="center"/>
          </w:tcPr>
          <w:p w14:paraId="4BDAB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指标标准制定</w:t>
            </w:r>
          </w:p>
        </w:tc>
        <w:tc>
          <w:tcPr>
            <w:tcW w:w="2740" w:type="pct"/>
            <w:shd w:val="clear" w:color="auto" w:fill="auto"/>
            <w:vAlign w:val="center"/>
          </w:tcPr>
          <w:p w14:paraId="56F12C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对指标的目标标准进行评审管理。</w:t>
            </w:r>
          </w:p>
        </w:tc>
      </w:tr>
      <w:tr w14:paraId="06E6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79EC4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32" w:type="pct"/>
            <w:vMerge w:val="continue"/>
            <w:shd w:val="clear" w:color="auto" w:fill="auto"/>
            <w:vAlign w:val="center"/>
          </w:tcPr>
          <w:p w14:paraId="2C99E8A9">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6826F985">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6271C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指标目标管理</w:t>
            </w:r>
          </w:p>
        </w:tc>
        <w:tc>
          <w:tcPr>
            <w:tcW w:w="2740" w:type="pct"/>
            <w:shd w:val="clear" w:color="auto" w:fill="auto"/>
            <w:vAlign w:val="center"/>
          </w:tcPr>
          <w:p w14:paraId="2253F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医院对定量指标进行目标设定，支持按照科室、时间维度进行目标值设置。</w:t>
            </w:r>
          </w:p>
        </w:tc>
      </w:tr>
      <w:tr w14:paraId="104E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2E7927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532" w:type="pct"/>
            <w:vMerge w:val="continue"/>
            <w:shd w:val="clear" w:color="auto" w:fill="auto"/>
            <w:vAlign w:val="center"/>
          </w:tcPr>
          <w:p w14:paraId="12DF5575">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3E579A7A">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7DD3E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指标目标查询</w:t>
            </w:r>
          </w:p>
        </w:tc>
        <w:tc>
          <w:tcPr>
            <w:tcW w:w="2740" w:type="pct"/>
            <w:shd w:val="clear" w:color="auto" w:fill="auto"/>
            <w:vAlign w:val="center"/>
          </w:tcPr>
          <w:p w14:paraId="61CB3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查询每个指标的目标值。</w:t>
            </w:r>
          </w:p>
        </w:tc>
      </w:tr>
      <w:tr w14:paraId="24E0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2" w:type="pct"/>
            <w:vMerge w:val="restart"/>
            <w:shd w:val="clear" w:color="auto" w:fill="auto"/>
            <w:noWrap/>
            <w:vAlign w:val="center"/>
          </w:tcPr>
          <w:p w14:paraId="31EEB81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p w14:paraId="1AB90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77ACE4DE">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180C2935">
            <w:pPr>
              <w:jc w:val="center"/>
              <w:rPr>
                <w:rFonts w:hint="eastAsia" w:ascii="宋体" w:hAnsi="宋体" w:eastAsia="宋体" w:cs="宋体"/>
                <w:i w:val="0"/>
                <w:iCs w:val="0"/>
                <w:color w:val="000000"/>
                <w:sz w:val="21"/>
                <w:szCs w:val="21"/>
                <w:u w:val="none"/>
              </w:rPr>
            </w:pPr>
          </w:p>
        </w:tc>
        <w:tc>
          <w:tcPr>
            <w:tcW w:w="743" w:type="pct"/>
            <w:vMerge w:val="restart"/>
            <w:shd w:val="clear" w:color="auto" w:fill="auto"/>
            <w:noWrap/>
            <w:vAlign w:val="center"/>
          </w:tcPr>
          <w:p w14:paraId="0FC93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PDCA整改</w:t>
            </w:r>
          </w:p>
        </w:tc>
        <w:tc>
          <w:tcPr>
            <w:tcW w:w="2740" w:type="pct"/>
            <w:shd w:val="clear" w:color="auto" w:fill="auto"/>
            <w:vAlign w:val="center"/>
          </w:tcPr>
          <w:p w14:paraId="0316A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（1）用于发起指标数据未达标准后的PDCA整改流程，整改记录单为标准PDCA记录单，可自动带入数据，支持工作流的配置。</w:t>
            </w:r>
          </w:p>
        </w:tc>
      </w:tr>
      <w:tr w14:paraId="4A42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vMerge w:val="continue"/>
            <w:shd w:val="clear" w:color="auto" w:fill="auto"/>
            <w:noWrap/>
            <w:vAlign w:val="center"/>
          </w:tcPr>
          <w:p w14:paraId="4868E288">
            <w:pPr>
              <w:jc w:val="center"/>
              <w:rPr>
                <w:rFonts w:hint="eastAsia" w:ascii="宋体" w:hAnsi="宋体" w:eastAsia="宋体" w:cs="宋体"/>
                <w:i w:val="0"/>
                <w:iCs w:val="0"/>
                <w:color w:val="000000"/>
                <w:sz w:val="21"/>
                <w:szCs w:val="21"/>
                <w:u w:val="none"/>
              </w:rPr>
            </w:pPr>
          </w:p>
        </w:tc>
        <w:tc>
          <w:tcPr>
            <w:tcW w:w="532" w:type="pct"/>
            <w:vMerge w:val="continue"/>
            <w:shd w:val="clear" w:color="auto" w:fill="auto"/>
            <w:vAlign w:val="center"/>
          </w:tcPr>
          <w:p w14:paraId="267599FD">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59540CD8">
            <w:pPr>
              <w:jc w:val="center"/>
              <w:rPr>
                <w:rFonts w:hint="eastAsia" w:ascii="宋体" w:hAnsi="宋体" w:eastAsia="宋体" w:cs="宋体"/>
                <w:i w:val="0"/>
                <w:iCs w:val="0"/>
                <w:color w:val="000000"/>
                <w:sz w:val="21"/>
                <w:szCs w:val="21"/>
                <w:u w:val="none"/>
              </w:rPr>
            </w:pPr>
          </w:p>
        </w:tc>
        <w:tc>
          <w:tcPr>
            <w:tcW w:w="743" w:type="pct"/>
            <w:vMerge w:val="continue"/>
            <w:shd w:val="clear" w:color="auto" w:fill="auto"/>
            <w:noWrap/>
            <w:vAlign w:val="center"/>
          </w:tcPr>
          <w:p w14:paraId="38AF25F9">
            <w:pPr>
              <w:jc w:val="center"/>
              <w:rPr>
                <w:rFonts w:hint="eastAsia" w:ascii="宋体" w:hAnsi="宋体" w:eastAsia="宋体" w:cs="宋体"/>
                <w:i w:val="0"/>
                <w:iCs w:val="0"/>
                <w:color w:val="000000"/>
                <w:sz w:val="21"/>
                <w:szCs w:val="21"/>
                <w:u w:val="none"/>
              </w:rPr>
            </w:pPr>
          </w:p>
        </w:tc>
        <w:tc>
          <w:tcPr>
            <w:tcW w:w="2740" w:type="pct"/>
            <w:shd w:val="clear" w:color="auto" w:fill="auto"/>
            <w:vAlign w:val="center"/>
          </w:tcPr>
          <w:p w14:paraId="7DFFC5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（2）支持一键发布PDCA任务，在指标明细中如果查看到异常指标，可及时发起PDCA任务。</w:t>
            </w:r>
          </w:p>
        </w:tc>
      </w:tr>
      <w:tr w14:paraId="769E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2EEB31D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w:t>
            </w:r>
            <w:r>
              <w:rPr>
                <w:rFonts w:hint="eastAsia" w:ascii="宋体" w:hAnsi="宋体" w:cs="宋体"/>
                <w:i w:val="0"/>
                <w:iCs w:val="0"/>
                <w:color w:val="000000"/>
                <w:kern w:val="2"/>
                <w:sz w:val="21"/>
                <w:szCs w:val="21"/>
                <w:u w:val="none"/>
                <w:lang w:val="en-US" w:eastAsia="zh-CN" w:bidi="ar-SA"/>
              </w:rPr>
              <w:t>7</w:t>
            </w:r>
          </w:p>
        </w:tc>
        <w:tc>
          <w:tcPr>
            <w:tcW w:w="532" w:type="pct"/>
            <w:vMerge w:val="continue"/>
            <w:shd w:val="clear" w:color="auto" w:fill="auto"/>
            <w:vAlign w:val="center"/>
          </w:tcPr>
          <w:p w14:paraId="58CB8C9D">
            <w:pPr>
              <w:jc w:val="center"/>
              <w:rPr>
                <w:rFonts w:hint="eastAsia" w:ascii="宋体" w:hAnsi="宋体" w:eastAsia="宋体" w:cs="宋体"/>
                <w:i w:val="0"/>
                <w:iCs w:val="0"/>
                <w:color w:val="000000"/>
                <w:sz w:val="21"/>
                <w:szCs w:val="21"/>
                <w:u w:val="none"/>
              </w:rPr>
            </w:pPr>
          </w:p>
        </w:tc>
        <w:tc>
          <w:tcPr>
            <w:tcW w:w="531" w:type="pct"/>
            <w:vMerge w:val="restart"/>
            <w:shd w:val="clear" w:color="auto" w:fill="auto"/>
            <w:vAlign w:val="center"/>
          </w:tcPr>
          <w:p w14:paraId="66272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w:t>
            </w:r>
          </w:p>
        </w:tc>
        <w:tc>
          <w:tcPr>
            <w:tcW w:w="743" w:type="pct"/>
            <w:shd w:val="clear" w:color="auto" w:fill="auto"/>
            <w:vAlign w:val="center"/>
          </w:tcPr>
          <w:p w14:paraId="63818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页面主题设置</w:t>
            </w:r>
          </w:p>
        </w:tc>
        <w:tc>
          <w:tcPr>
            <w:tcW w:w="2740" w:type="pct"/>
            <w:shd w:val="clear" w:color="auto" w:fill="auto"/>
            <w:vAlign w:val="center"/>
          </w:tcPr>
          <w:p w14:paraId="011D3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用户可以自定义页面主题，满足个性化的显示需求，点击主题功能可以实现横置导航菜单与竖置导航菜单的切换。</w:t>
            </w:r>
          </w:p>
        </w:tc>
      </w:tr>
      <w:tr w14:paraId="4D3E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2" w:type="pct"/>
            <w:shd w:val="clear" w:color="auto" w:fill="auto"/>
            <w:noWrap/>
            <w:vAlign w:val="center"/>
          </w:tcPr>
          <w:p w14:paraId="7425E07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38</w:t>
            </w:r>
          </w:p>
        </w:tc>
        <w:tc>
          <w:tcPr>
            <w:tcW w:w="532" w:type="pct"/>
            <w:vMerge w:val="continue"/>
            <w:shd w:val="clear" w:color="auto" w:fill="auto"/>
            <w:vAlign w:val="center"/>
          </w:tcPr>
          <w:p w14:paraId="70B748F1">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E595BB4">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53457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指标用户权限</w:t>
            </w:r>
          </w:p>
        </w:tc>
        <w:tc>
          <w:tcPr>
            <w:tcW w:w="2740" w:type="pct"/>
            <w:shd w:val="clear" w:color="auto" w:fill="auto"/>
            <w:vAlign w:val="center"/>
          </w:tcPr>
          <w:p w14:paraId="3D1F9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配置每个指标的用户访问查询权限。支持将每个指标权限细化到每个用户，实现用户数据权限的细化管理。</w:t>
            </w:r>
          </w:p>
        </w:tc>
      </w:tr>
      <w:tr w14:paraId="6D40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noWrap/>
            <w:vAlign w:val="center"/>
          </w:tcPr>
          <w:p w14:paraId="21C861C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39</w:t>
            </w:r>
          </w:p>
        </w:tc>
        <w:tc>
          <w:tcPr>
            <w:tcW w:w="532" w:type="pct"/>
            <w:vMerge w:val="continue"/>
            <w:shd w:val="clear" w:color="auto" w:fill="auto"/>
            <w:vAlign w:val="center"/>
          </w:tcPr>
          <w:p w14:paraId="7235D85F">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8ADFDBD">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45003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标准字典应用管理</w:t>
            </w:r>
          </w:p>
        </w:tc>
        <w:tc>
          <w:tcPr>
            <w:tcW w:w="2740" w:type="pct"/>
            <w:shd w:val="clear" w:color="auto" w:fill="auto"/>
            <w:vAlign w:val="center"/>
          </w:tcPr>
          <w:p w14:paraId="2B026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提供系统字典（例如四级手术目录、单病种目录等）的维护管理功能，需要定义字典分类、名称、版本、试用的指标、适用的统计周期。</w:t>
            </w:r>
          </w:p>
        </w:tc>
      </w:tr>
      <w:tr w14:paraId="6C0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452" w:type="pct"/>
            <w:shd w:val="clear" w:color="auto" w:fill="auto"/>
            <w:noWrap/>
            <w:vAlign w:val="center"/>
          </w:tcPr>
          <w:p w14:paraId="605048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w:t>
            </w:r>
          </w:p>
        </w:tc>
        <w:tc>
          <w:tcPr>
            <w:tcW w:w="532" w:type="pct"/>
            <w:vMerge w:val="continue"/>
            <w:shd w:val="clear" w:color="auto" w:fill="auto"/>
            <w:vAlign w:val="center"/>
          </w:tcPr>
          <w:p w14:paraId="18BF7F3A">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77E3E9BA">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0F717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指标收藏</w:t>
            </w:r>
          </w:p>
        </w:tc>
        <w:tc>
          <w:tcPr>
            <w:tcW w:w="2740" w:type="pct"/>
            <w:shd w:val="clear" w:color="auto" w:fill="auto"/>
            <w:vAlign w:val="center"/>
          </w:tcPr>
          <w:p w14:paraId="5B2F9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对关注的指标进行收藏、订阅。</w:t>
            </w:r>
          </w:p>
        </w:tc>
      </w:tr>
      <w:tr w14:paraId="2EF8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452" w:type="pct"/>
            <w:shd w:val="clear" w:color="auto" w:fill="auto"/>
            <w:noWrap/>
            <w:vAlign w:val="center"/>
          </w:tcPr>
          <w:p w14:paraId="24E302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532" w:type="pct"/>
            <w:shd w:val="clear" w:color="auto" w:fill="auto"/>
            <w:vAlign w:val="center"/>
          </w:tcPr>
          <w:p w14:paraId="50CDC7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实施服务</w:t>
            </w:r>
          </w:p>
        </w:tc>
        <w:tc>
          <w:tcPr>
            <w:tcW w:w="531" w:type="pct"/>
            <w:shd w:val="clear" w:color="auto" w:fill="auto"/>
            <w:vAlign w:val="center"/>
          </w:tcPr>
          <w:p w14:paraId="62BF22AA">
            <w:pPr>
              <w:jc w:val="center"/>
              <w:rPr>
                <w:rFonts w:hint="eastAsia" w:ascii="宋体" w:hAnsi="宋体" w:eastAsia="宋体" w:cs="宋体"/>
                <w:b/>
                <w:bCs/>
                <w:i w:val="0"/>
                <w:iCs w:val="0"/>
                <w:color w:val="000000"/>
                <w:sz w:val="21"/>
                <w:szCs w:val="21"/>
                <w:u w:val="none"/>
              </w:rPr>
            </w:pPr>
          </w:p>
        </w:tc>
        <w:tc>
          <w:tcPr>
            <w:tcW w:w="743" w:type="pct"/>
            <w:shd w:val="clear" w:color="auto" w:fill="auto"/>
            <w:vAlign w:val="center"/>
          </w:tcPr>
          <w:p w14:paraId="1A49B924">
            <w:pPr>
              <w:jc w:val="center"/>
              <w:rPr>
                <w:rFonts w:hint="eastAsia" w:ascii="宋体" w:hAnsi="宋体" w:eastAsia="宋体" w:cs="宋体"/>
                <w:i w:val="0"/>
                <w:iCs w:val="0"/>
                <w:color w:val="000000"/>
                <w:sz w:val="21"/>
                <w:szCs w:val="21"/>
                <w:u w:val="none"/>
              </w:rPr>
            </w:pPr>
          </w:p>
        </w:tc>
        <w:tc>
          <w:tcPr>
            <w:tcW w:w="2740" w:type="pct"/>
            <w:shd w:val="clear" w:color="auto" w:fill="auto"/>
            <w:noWrap/>
            <w:vAlign w:val="top"/>
          </w:tcPr>
          <w:p w14:paraId="5D2437F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515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452" w:type="pct"/>
            <w:shd w:val="clear" w:color="auto" w:fill="auto"/>
            <w:vAlign w:val="center"/>
          </w:tcPr>
          <w:p w14:paraId="43360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2" w:type="pct"/>
            <w:vMerge w:val="restart"/>
            <w:shd w:val="clear" w:color="auto" w:fill="auto"/>
            <w:vAlign w:val="center"/>
          </w:tcPr>
          <w:p w14:paraId="045B3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数据实施</w:t>
            </w:r>
          </w:p>
        </w:tc>
        <w:tc>
          <w:tcPr>
            <w:tcW w:w="531" w:type="pct"/>
            <w:vMerge w:val="restart"/>
            <w:shd w:val="clear" w:color="auto" w:fill="auto"/>
            <w:vAlign w:val="center"/>
          </w:tcPr>
          <w:p w14:paraId="3B177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三级医院评审标准（2025年版）第二部分数据建模</w:t>
            </w:r>
          </w:p>
        </w:tc>
        <w:tc>
          <w:tcPr>
            <w:tcW w:w="743" w:type="pct"/>
            <w:shd w:val="clear" w:color="auto" w:fill="auto"/>
            <w:vAlign w:val="center"/>
          </w:tcPr>
          <w:p w14:paraId="374C9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三甲指标体系要求</w:t>
            </w:r>
          </w:p>
        </w:tc>
        <w:tc>
          <w:tcPr>
            <w:tcW w:w="2740" w:type="pct"/>
            <w:shd w:val="clear" w:color="auto" w:fill="auto"/>
            <w:vAlign w:val="top"/>
          </w:tcPr>
          <w:p w14:paraId="58956636">
            <w:pPr>
              <w:keepNext w:val="0"/>
              <w:keepLines w:val="0"/>
              <w:widowControl/>
              <w:suppressLineNumbers w:val="0"/>
              <w:jc w:val="left"/>
              <w:textAlignment w:val="top"/>
              <w:rPr>
                <w:rFonts w:hint="eastAsia"/>
              </w:rPr>
            </w:pPr>
            <w:r>
              <w:rPr>
                <w:rFonts w:hint="eastAsia" w:ascii="宋体" w:hAnsi="宋体" w:eastAsia="宋体" w:cs="宋体"/>
                <w:i w:val="0"/>
                <w:iCs w:val="0"/>
                <w:color w:val="000000"/>
                <w:kern w:val="0"/>
                <w:sz w:val="21"/>
                <w:szCs w:val="21"/>
                <w:u w:val="none"/>
                <w:lang w:val="en-US" w:eastAsia="zh-CN" w:bidi="ar"/>
              </w:rPr>
              <w:t>指标体系满足《三级医院评审标准（2025年版）》最新版中第二部分要求。</w:t>
            </w:r>
            <w:r>
              <w:rPr>
                <w:rFonts w:hint="eastAsia" w:ascii="宋体" w:hAnsi="宋体" w:cs="宋体"/>
                <w:i w:val="0"/>
                <w:iCs w:val="0"/>
                <w:color w:val="000000"/>
                <w:kern w:val="0"/>
                <w:sz w:val="21"/>
                <w:szCs w:val="21"/>
                <w:u w:val="none"/>
                <w:lang w:val="en-US" w:eastAsia="zh-CN" w:bidi="ar"/>
              </w:rPr>
              <w:t>（以广东省发布的《三级医院评审标准（2025年版）》文件为准），若有新增的部分按实际的工作量评估。</w:t>
            </w:r>
          </w:p>
        </w:tc>
      </w:tr>
      <w:tr w14:paraId="554A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452" w:type="pct"/>
            <w:shd w:val="clear" w:color="auto" w:fill="auto"/>
            <w:vAlign w:val="center"/>
          </w:tcPr>
          <w:p w14:paraId="7CE94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2" w:type="pct"/>
            <w:vMerge w:val="continue"/>
            <w:shd w:val="clear" w:color="auto" w:fill="auto"/>
            <w:vAlign w:val="center"/>
          </w:tcPr>
          <w:p w14:paraId="4A6FF769">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211E1FB">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241DCC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三甲指标可视化建模</w:t>
            </w:r>
          </w:p>
        </w:tc>
        <w:tc>
          <w:tcPr>
            <w:tcW w:w="2740" w:type="pct"/>
            <w:shd w:val="clear" w:color="auto" w:fill="auto"/>
            <w:vAlign w:val="top"/>
          </w:tcPr>
          <w:p w14:paraId="6E4FC554">
            <w:pPr>
              <w:keepNext w:val="0"/>
              <w:keepLines w:val="0"/>
              <w:widowControl/>
              <w:suppressLineNumbers w:val="0"/>
              <w:jc w:val="left"/>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三甲指</w:t>
            </w:r>
            <w:r>
              <w:rPr>
                <w:rFonts w:hint="eastAsia" w:ascii="宋体" w:hAnsi="宋体" w:eastAsia="宋体" w:cs="宋体"/>
                <w:b/>
                <w:bCs/>
                <w:i w:val="0"/>
                <w:iCs w:val="0"/>
                <w:color w:val="000000"/>
                <w:kern w:val="0"/>
                <w:sz w:val="22"/>
                <w:szCs w:val="22"/>
                <w:u w:val="none"/>
                <w:lang w:val="en-US" w:eastAsia="zh-CN" w:bidi="ar"/>
              </w:rPr>
              <w:t>标模型管理功能，投标人须承诺提供管理和构建医疗业务数据指标模型的功能，提供从业务到信息、信息到指标模型、指标模型到底层数据任务的自上而下完成指标从无到有实施落地的能力，用户全流程只需进行界面信息配置，零代码即可完成指标统计逻辑构建，平台将自动生成可执行的指标统计任务。</w:t>
            </w:r>
          </w:p>
        </w:tc>
      </w:tr>
      <w:tr w14:paraId="14E7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2" w:type="pct"/>
            <w:shd w:val="clear" w:color="auto" w:fill="auto"/>
            <w:noWrap/>
            <w:vAlign w:val="center"/>
          </w:tcPr>
          <w:p w14:paraId="3B063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2" w:type="pct"/>
            <w:vMerge w:val="continue"/>
            <w:shd w:val="clear" w:color="auto" w:fill="auto"/>
            <w:vAlign w:val="center"/>
          </w:tcPr>
          <w:p w14:paraId="78F3DFCE">
            <w:pPr>
              <w:jc w:val="center"/>
              <w:rPr>
                <w:rFonts w:hint="eastAsia" w:ascii="宋体" w:hAnsi="宋体" w:eastAsia="宋体" w:cs="宋体"/>
                <w:i w:val="0"/>
                <w:iCs w:val="0"/>
                <w:color w:val="000000"/>
                <w:sz w:val="21"/>
                <w:szCs w:val="21"/>
                <w:u w:val="none"/>
              </w:rPr>
            </w:pPr>
          </w:p>
        </w:tc>
        <w:tc>
          <w:tcPr>
            <w:tcW w:w="531" w:type="pct"/>
            <w:vMerge w:val="continue"/>
            <w:shd w:val="clear" w:color="auto" w:fill="auto"/>
            <w:vAlign w:val="center"/>
          </w:tcPr>
          <w:p w14:paraId="4C451900">
            <w:pPr>
              <w:jc w:val="center"/>
              <w:rPr>
                <w:rFonts w:hint="eastAsia" w:ascii="宋体" w:hAnsi="宋体" w:eastAsia="宋体" w:cs="宋体"/>
                <w:i w:val="0"/>
                <w:iCs w:val="0"/>
                <w:color w:val="000000"/>
                <w:sz w:val="21"/>
                <w:szCs w:val="21"/>
                <w:u w:val="none"/>
              </w:rPr>
            </w:pPr>
          </w:p>
        </w:tc>
        <w:tc>
          <w:tcPr>
            <w:tcW w:w="743" w:type="pct"/>
            <w:shd w:val="clear" w:color="auto" w:fill="auto"/>
            <w:vAlign w:val="center"/>
          </w:tcPr>
          <w:p w14:paraId="33CA7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三甲数据一体化实施</w:t>
            </w:r>
          </w:p>
        </w:tc>
        <w:tc>
          <w:tcPr>
            <w:tcW w:w="2740" w:type="pct"/>
            <w:shd w:val="clear" w:color="auto" w:fill="auto"/>
            <w:vAlign w:val="top"/>
          </w:tcPr>
          <w:p w14:paraId="2F572AD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针对《三级医院评审标准（2025年版）》最新版中第二部分的指标要求，通过数据采集、治理、分析全流程，在系统页面上建设指标体系，逐步完成指标的数据实施、结果核对、明细下钻。</w:t>
            </w:r>
          </w:p>
        </w:tc>
      </w:tr>
    </w:tbl>
    <w:p w14:paraId="2F35E094"/>
    <w:p w14:paraId="6343B0EE">
      <w:pPr>
        <w:pStyle w:val="4"/>
        <w:numPr>
          <w:ilvl w:val="0"/>
          <w:numId w:val="2"/>
        </w:numPr>
        <w:spacing w:before="0" w:after="0" w:line="360" w:lineRule="auto"/>
        <w:rPr>
          <w:rFonts w:ascii="宋体" w:hAnsi="宋体" w:eastAsia="宋体" w:cs="宋体"/>
          <w:sz w:val="21"/>
          <w:szCs w:val="21"/>
        </w:rPr>
      </w:pPr>
      <w:r>
        <w:rPr>
          <w:rFonts w:hint="eastAsia" w:ascii="宋体" w:hAnsi="宋体" w:eastAsia="宋体" w:cs="宋体"/>
          <w:sz w:val="21"/>
          <w:szCs w:val="21"/>
        </w:rPr>
        <w:t>商务要求</w:t>
      </w:r>
    </w:p>
    <w:p w14:paraId="10ACF23C">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（一）服务期：本项目服务期限为自合同签订之日起</w:t>
      </w:r>
      <w:r>
        <w:rPr>
          <w:rFonts w:hint="eastAsia" w:hAnsi="宋体" w:cs="宋体"/>
          <w:bCs/>
          <w:sz w:val="21"/>
          <w:lang w:val="en-US" w:eastAsia="zh-CN"/>
        </w:rPr>
        <w:t>60</w:t>
      </w:r>
      <w:r>
        <w:rPr>
          <w:rFonts w:hint="eastAsia" w:hAnsi="宋体" w:cs="宋体"/>
          <w:bCs/>
          <w:sz w:val="21"/>
        </w:rPr>
        <w:t>个日历日内完成项目实施上线验收；自项目验收之日起提供</w:t>
      </w:r>
      <w:r>
        <w:rPr>
          <w:rFonts w:hint="eastAsia" w:hAnsi="宋体" w:cs="宋体"/>
          <w:b/>
          <w:bCs w:val="0"/>
          <w:sz w:val="21"/>
          <w:lang w:val="en-US" w:eastAsia="zh-CN"/>
        </w:rPr>
        <w:t>1</w:t>
      </w:r>
      <w:r>
        <w:rPr>
          <w:rFonts w:hint="eastAsia" w:hAnsi="宋体" w:cs="宋体"/>
          <w:bCs/>
          <w:sz w:val="21"/>
        </w:rPr>
        <w:t>年的维保服务，不额外收费。</w:t>
      </w:r>
    </w:p>
    <w:p w14:paraId="60E65001">
      <w:pPr>
        <w:pStyle w:val="14"/>
        <w:tabs>
          <w:tab w:val="left" w:pos="540"/>
        </w:tabs>
        <w:adjustRightInd w:val="0"/>
        <w:snapToGrid w:val="0"/>
        <w:spacing w:line="360" w:lineRule="auto"/>
        <w:ind w:firstLine="420" w:firstLineChars="200"/>
        <w:rPr>
          <w:rFonts w:hint="eastAsia" w:hAnsi="宋体" w:cs="宋体"/>
          <w:bCs/>
          <w:sz w:val="21"/>
        </w:rPr>
      </w:pPr>
      <w:r>
        <w:rPr>
          <w:rFonts w:hint="eastAsia" w:hAnsi="宋体" w:cs="宋体"/>
          <w:bCs/>
          <w:sz w:val="21"/>
        </w:rPr>
        <w:t>（二）项目验收：系统上线完成后，成交人应当对系统进行功能和性能检测，以确认实施项目符合要求并可以正常运行后，成交人向采购人提出验收申请。采购人在</w:t>
      </w:r>
      <w:r>
        <w:rPr>
          <w:rFonts w:hint="eastAsia" w:hAnsi="宋体" w:cs="宋体"/>
          <w:bCs/>
          <w:sz w:val="21"/>
          <w:lang w:val="en-US"/>
        </w:rPr>
        <w:t>30</w:t>
      </w:r>
      <w:r>
        <w:rPr>
          <w:rFonts w:hint="eastAsia" w:hAnsi="宋体" w:cs="宋体"/>
          <w:bCs/>
          <w:sz w:val="21"/>
        </w:rPr>
        <w:t>日内组织采购人使用科室对系统进行验收。</w:t>
      </w:r>
    </w:p>
    <w:p w14:paraId="7E8C29D7">
      <w:pPr>
        <w:pStyle w:val="14"/>
        <w:tabs>
          <w:tab w:val="left" w:pos="540"/>
        </w:tabs>
        <w:adjustRightInd w:val="0"/>
        <w:snapToGrid w:val="0"/>
        <w:spacing w:line="360" w:lineRule="auto"/>
        <w:ind w:firstLine="420" w:firstLineChars="200"/>
        <w:rPr>
          <w:rFonts w:hint="eastAsia" w:hAnsi="宋体" w:cs="宋体"/>
          <w:bCs/>
          <w:sz w:val="21"/>
          <w:lang w:val="en-US" w:eastAsia="zh-CN"/>
        </w:rPr>
      </w:pPr>
      <w:r>
        <w:rPr>
          <w:rFonts w:hint="eastAsia" w:hAnsi="宋体" w:cs="宋体"/>
          <w:bCs/>
          <w:sz w:val="21"/>
          <w:lang w:eastAsia="zh-CN"/>
        </w:rPr>
        <w:t>（</w:t>
      </w:r>
      <w:r>
        <w:rPr>
          <w:rFonts w:hint="eastAsia" w:hAnsi="宋体" w:cs="宋体"/>
          <w:bCs/>
          <w:sz w:val="21"/>
          <w:lang w:val="en-US" w:eastAsia="zh-CN"/>
        </w:rPr>
        <w:t>三</w:t>
      </w:r>
      <w:r>
        <w:rPr>
          <w:rFonts w:hint="eastAsia" w:hAnsi="宋体" w:cs="宋体"/>
          <w:bCs/>
          <w:sz w:val="21"/>
          <w:lang w:eastAsia="zh-CN"/>
        </w:rPr>
        <w:t>）</w:t>
      </w:r>
      <w:r>
        <w:rPr>
          <w:rFonts w:hint="eastAsia" w:hAnsi="宋体" w:cs="宋体"/>
          <w:bCs/>
          <w:sz w:val="21"/>
          <w:lang w:val="en-US" w:eastAsia="zh-CN"/>
        </w:rPr>
        <w:t>实施期：从合同签订到系统上线完成期间，要求至少2名实施经验两年以上的工程师进行驻场服务。工程师要求能处理日常问题及收集临床提出的需求并能系统的整理需求和分析需求。</w:t>
      </w:r>
    </w:p>
    <w:p w14:paraId="704E9B57">
      <w:pPr>
        <w:pStyle w:val="14"/>
        <w:tabs>
          <w:tab w:val="left" w:pos="540"/>
        </w:tabs>
        <w:adjustRightInd w:val="0"/>
        <w:snapToGrid w:val="0"/>
        <w:spacing w:line="360" w:lineRule="auto"/>
        <w:ind w:firstLine="420" w:firstLineChars="200"/>
        <w:rPr>
          <w:rFonts w:hint="eastAsia" w:hAnsi="宋体" w:cs="宋体"/>
          <w:bCs/>
          <w:sz w:val="21"/>
          <w:lang w:val="en-US" w:eastAsia="zh-CN"/>
        </w:rPr>
      </w:pPr>
      <w:r>
        <w:rPr>
          <w:rFonts w:hint="eastAsia" w:hAnsi="宋体" w:cs="宋体"/>
          <w:bCs/>
          <w:sz w:val="21"/>
          <w:lang w:val="en-US" w:eastAsia="zh-CN"/>
        </w:rPr>
        <w:t>（四）信息与数据安全要求：</w:t>
      </w:r>
    </w:p>
    <w:p w14:paraId="6231C39E">
      <w:pPr>
        <w:pStyle w:val="14"/>
        <w:tabs>
          <w:tab w:val="left" w:pos="540"/>
        </w:tabs>
        <w:adjustRightInd w:val="0"/>
        <w:snapToGrid w:val="0"/>
        <w:spacing w:line="360" w:lineRule="auto"/>
        <w:ind w:firstLine="420" w:firstLineChars="200"/>
        <w:rPr>
          <w:rFonts w:hint="eastAsia" w:hAnsi="宋体" w:cs="宋体"/>
          <w:bCs/>
          <w:sz w:val="21"/>
          <w:lang w:val="en-US" w:eastAsia="zh-CN"/>
        </w:rPr>
      </w:pPr>
      <w:r>
        <w:rPr>
          <w:rFonts w:hint="eastAsia" w:hAnsi="宋体" w:cs="宋体"/>
          <w:bCs/>
          <w:sz w:val="21"/>
          <w:lang w:val="en-US" w:eastAsia="zh-CN"/>
        </w:rPr>
        <w:t>1.对在项目实施过程中接触到的所有医院数据（包括但不限于患者信息、医疗记录、运营数据等）严格保密，不得以任何形式泄露、复制、传播或用于本合同以外的任何目的。保密义务不因合同终止而解除。</w:t>
      </w:r>
    </w:p>
    <w:p w14:paraId="53257462">
      <w:pPr>
        <w:pStyle w:val="14"/>
        <w:tabs>
          <w:tab w:val="left" w:pos="540"/>
        </w:tabs>
        <w:adjustRightInd w:val="0"/>
        <w:snapToGrid w:val="0"/>
        <w:spacing w:line="360" w:lineRule="auto"/>
        <w:ind w:firstLine="420" w:firstLineChars="200"/>
        <w:rPr>
          <w:rFonts w:hint="eastAsia" w:hAnsi="宋体" w:cs="宋体"/>
          <w:bCs/>
          <w:sz w:val="21"/>
        </w:rPr>
      </w:pPr>
      <w:r>
        <w:rPr>
          <w:rFonts w:hint="eastAsia" w:hAnsi="宋体" w:cs="宋体"/>
          <w:bCs/>
          <w:sz w:val="21"/>
          <w:lang w:val="en-US" w:eastAsia="zh-CN"/>
        </w:rPr>
        <w:t>2.成交人应制定数据备份与恢复方案，确保系统在发生故障或数据丢失时能够快速恢复。备份数据应定期验证其可用性，并妥善保存。</w:t>
      </w:r>
    </w:p>
    <w:p w14:paraId="1703329F">
      <w:pPr>
        <w:spacing w:line="360" w:lineRule="auto"/>
        <w:ind w:firstLine="420" w:firstLineChars="200"/>
        <w:rPr>
          <w:rFonts w:ascii="宋体" w:hAnsi="宋体" w:cs="宋体"/>
          <w:bCs/>
          <w:szCs w:val="21"/>
        </w:rPr>
      </w:pPr>
      <w:r>
        <w:rPr>
          <w:rFonts w:hint="eastAsia" w:ascii="宋体" w:hAnsi="宋体" w:cs="宋体"/>
          <w:bCs/>
          <w:szCs w:val="21"/>
        </w:rPr>
        <w:t>关于本项目集成任务的试运行、终验的基本条件如下：</w:t>
      </w:r>
    </w:p>
    <w:p w14:paraId="490FA30B">
      <w:pPr>
        <w:spacing w:line="360" w:lineRule="auto"/>
        <w:ind w:firstLine="420" w:firstLineChars="200"/>
        <w:rPr>
          <w:rFonts w:ascii="宋体" w:hAnsi="宋体" w:cs="宋体"/>
          <w:bCs/>
          <w:szCs w:val="21"/>
        </w:rPr>
      </w:pPr>
      <w:r>
        <w:rPr>
          <w:rFonts w:hint="eastAsia" w:ascii="宋体" w:hAnsi="宋体" w:cs="宋体"/>
          <w:bCs/>
          <w:szCs w:val="21"/>
        </w:rPr>
        <w:t>1.“试运行”指初验收合格之日起，成交人提供的系统连续运行，并不断根据试运行报告进行修改完善。在试运行期间，全部业务办理和业务数据在医院综合管理信息平台系统上运行。在试运行期内如出现重大故障，则试运行期从故障排除之日起重新计算；</w:t>
      </w:r>
    </w:p>
    <w:p w14:paraId="708BD749">
      <w:pPr>
        <w:spacing w:line="360" w:lineRule="auto"/>
        <w:ind w:firstLine="420" w:firstLineChars="200"/>
        <w:rPr>
          <w:rFonts w:ascii="宋体" w:hAnsi="宋体" w:cs="宋体"/>
          <w:bCs/>
          <w:szCs w:val="21"/>
        </w:rPr>
      </w:pPr>
      <w:r>
        <w:rPr>
          <w:rFonts w:hint="eastAsia" w:ascii="宋体" w:hAnsi="宋体" w:cs="宋体"/>
          <w:bCs/>
          <w:szCs w:val="21"/>
        </w:rPr>
        <w:t>2.“终验”指成交人提供的系统试运行期满合格，具备正式验收条件，成交人提交验收申请和全部文档，经采购人确认后，组织系统终验；终验合格后即为该工程完工，进入质量保证期。</w:t>
      </w:r>
    </w:p>
    <w:p w14:paraId="0E992607">
      <w:pPr>
        <w:spacing w:line="360" w:lineRule="auto"/>
        <w:ind w:firstLine="420" w:firstLineChars="200"/>
        <w:rPr>
          <w:rFonts w:ascii="宋体" w:hAnsi="宋体" w:cs="宋体"/>
          <w:bCs/>
          <w:snapToGrid w:val="0"/>
          <w:szCs w:val="21"/>
        </w:rPr>
      </w:pPr>
      <w:bookmarkStart w:id="1" w:name="_Toc476828408"/>
      <w:bookmarkStart w:id="2" w:name="_Toc336377166"/>
      <w:r>
        <w:rPr>
          <w:rFonts w:hint="eastAsia" w:ascii="宋体" w:hAnsi="宋体" w:cs="宋体"/>
          <w:bCs/>
          <w:snapToGrid w:val="0"/>
          <w:szCs w:val="21"/>
        </w:rPr>
        <w:t>3.测试执行完成后，项目管理员负责收集整理各项测试资料，组织编写《项目测试报告》。</w:t>
      </w:r>
    </w:p>
    <w:p w14:paraId="4A67F984">
      <w:pPr>
        <w:spacing w:line="360" w:lineRule="auto"/>
        <w:ind w:firstLine="420" w:firstLineChars="200"/>
        <w:rPr>
          <w:rFonts w:ascii="宋体" w:hAnsi="宋体" w:cs="宋体"/>
          <w:bCs/>
          <w:snapToGrid w:val="0"/>
          <w:szCs w:val="21"/>
        </w:rPr>
      </w:pPr>
      <w:r>
        <w:rPr>
          <w:rFonts w:hint="eastAsia" w:ascii="宋体" w:hAnsi="宋体" w:cs="宋体"/>
          <w:bCs/>
          <w:snapToGrid w:val="0"/>
          <w:szCs w:val="21"/>
        </w:rPr>
        <w:t>3.1《项目测试报告》内容包括：项目名称和编号、测试过程简述、测试结果、结论。</w:t>
      </w:r>
    </w:p>
    <w:p w14:paraId="795CB6BB">
      <w:pPr>
        <w:spacing w:line="360" w:lineRule="auto"/>
        <w:ind w:firstLine="420" w:firstLineChars="200"/>
        <w:rPr>
          <w:rFonts w:ascii="宋体" w:hAnsi="宋体" w:cs="宋体"/>
          <w:bCs/>
          <w:snapToGrid w:val="0"/>
          <w:szCs w:val="21"/>
        </w:rPr>
      </w:pPr>
      <w:r>
        <w:rPr>
          <w:rFonts w:hint="eastAsia" w:ascii="宋体" w:hAnsi="宋体" w:cs="宋体"/>
          <w:bCs/>
          <w:snapToGrid w:val="0"/>
          <w:szCs w:val="21"/>
        </w:rPr>
        <w:t>3.2《项目测试报告》提交给采购人需求部门共同审核，并进行用户业务验收，确认符合业务要求后召开项目验收会议，验收通过后采购人各部门负责人、领导，在《项目测试报告》上签字确认。并由成交人提交验收清单，包括系统清单、各类开发文档等。</w:t>
      </w:r>
    </w:p>
    <w:p w14:paraId="19B75944">
      <w:pPr>
        <w:spacing w:line="360" w:lineRule="auto"/>
        <w:ind w:firstLine="420" w:firstLineChars="200"/>
        <w:rPr>
          <w:rFonts w:ascii="宋体" w:hAnsi="宋体" w:cs="宋体"/>
          <w:bCs/>
          <w:szCs w:val="21"/>
        </w:rPr>
      </w:pPr>
      <w:r>
        <w:rPr>
          <w:rFonts w:hint="eastAsia" w:ascii="宋体" w:hAnsi="宋体" w:cs="宋体"/>
          <w:bCs/>
          <w:snapToGrid w:val="0"/>
          <w:szCs w:val="21"/>
        </w:rPr>
        <w:t>4.项目实施单位负责编制操作手册，并对需求部门和系统维护人员根据合同要求进行培训。</w:t>
      </w:r>
      <w:bookmarkEnd w:id="1"/>
      <w:bookmarkEnd w:id="2"/>
    </w:p>
    <w:p w14:paraId="415A3026">
      <w:pPr>
        <w:spacing w:line="360" w:lineRule="auto"/>
        <w:ind w:firstLine="420" w:firstLineChars="200"/>
        <w:rPr>
          <w:rFonts w:ascii="宋体" w:hAnsi="宋体" w:cs="宋体"/>
          <w:szCs w:val="21"/>
        </w:rPr>
      </w:pPr>
      <w:r>
        <w:rPr>
          <w:rFonts w:hint="eastAsia" w:ascii="宋体" w:hAnsi="宋体" w:cs="宋体"/>
          <w:szCs w:val="21"/>
        </w:rPr>
        <w:t>（三）培训要求</w:t>
      </w:r>
    </w:p>
    <w:p w14:paraId="12DC3605">
      <w:pPr>
        <w:spacing w:line="360" w:lineRule="auto"/>
        <w:ind w:firstLine="420" w:firstLineChars="200"/>
        <w:rPr>
          <w:rFonts w:ascii="宋体" w:hAnsi="宋体" w:cs="宋体"/>
          <w:snapToGrid w:val="0"/>
          <w:szCs w:val="21"/>
        </w:rPr>
      </w:pPr>
      <w:r>
        <w:rPr>
          <w:rFonts w:hint="eastAsia" w:ascii="宋体" w:hAnsi="宋体" w:cs="宋体"/>
          <w:snapToGrid w:val="0"/>
          <w:szCs w:val="21"/>
        </w:rPr>
        <w:t>为了保证供应商所提供的系统能良好运行，要求供应商负责提供有关系统功能、安装、操作、设计、维护和系统开发以及应用软件使用的文档和培训。</w:t>
      </w:r>
    </w:p>
    <w:p w14:paraId="6D2D3564">
      <w:pPr>
        <w:spacing w:line="360" w:lineRule="auto"/>
        <w:ind w:firstLine="420" w:firstLineChars="200"/>
        <w:rPr>
          <w:rFonts w:ascii="宋体" w:hAnsi="宋体" w:cs="宋体"/>
          <w:snapToGrid w:val="0"/>
          <w:szCs w:val="21"/>
        </w:rPr>
      </w:pPr>
      <w:r>
        <w:rPr>
          <w:rFonts w:hint="eastAsia" w:ascii="宋体" w:hAnsi="宋体" w:cs="宋体"/>
          <w:snapToGrid w:val="0"/>
          <w:szCs w:val="21"/>
        </w:rPr>
        <w:t>1.培训：提供对采购人项目组成员、管理层及中层干部，及最终用户的分层次培训。</w:t>
      </w:r>
    </w:p>
    <w:p w14:paraId="3C8A4567">
      <w:pPr>
        <w:spacing w:line="360" w:lineRule="auto"/>
        <w:ind w:firstLine="420" w:firstLineChars="200"/>
        <w:rPr>
          <w:rFonts w:ascii="宋体" w:hAnsi="宋体" w:cs="宋体"/>
          <w:snapToGrid w:val="0"/>
          <w:szCs w:val="21"/>
        </w:rPr>
      </w:pPr>
      <w:r>
        <w:rPr>
          <w:rFonts w:hint="eastAsia" w:ascii="宋体" w:hAnsi="宋体" w:cs="宋体"/>
          <w:snapToGrid w:val="0"/>
          <w:szCs w:val="21"/>
        </w:rPr>
        <w:t>2.培训目标：技术人员经培训后能熟练地掌握软件的维护工作并能及时排除大部分的软件故障。</w:t>
      </w:r>
    </w:p>
    <w:p w14:paraId="3E23C1C7">
      <w:pPr>
        <w:spacing w:line="360" w:lineRule="auto"/>
        <w:ind w:firstLine="420" w:firstLineChars="200"/>
        <w:rPr>
          <w:rFonts w:ascii="宋体" w:hAnsi="宋体" w:cs="宋体"/>
          <w:snapToGrid w:val="0"/>
          <w:szCs w:val="21"/>
        </w:rPr>
      </w:pPr>
      <w:r>
        <w:rPr>
          <w:rFonts w:hint="eastAsia" w:ascii="宋体" w:hAnsi="宋体" w:cs="宋体"/>
          <w:snapToGrid w:val="0"/>
          <w:szCs w:val="21"/>
        </w:rPr>
        <w:t>3.供应商需提供操作使用手册。</w:t>
      </w:r>
    </w:p>
    <w:p w14:paraId="7097672E">
      <w:pPr>
        <w:spacing w:line="360" w:lineRule="auto"/>
        <w:ind w:firstLine="420" w:firstLineChars="200"/>
        <w:rPr>
          <w:rFonts w:ascii="宋体" w:hAnsi="宋体" w:cs="宋体"/>
          <w:snapToGrid w:val="0"/>
          <w:szCs w:val="21"/>
        </w:rPr>
      </w:pPr>
      <w:r>
        <w:rPr>
          <w:rFonts w:hint="eastAsia" w:ascii="宋体" w:hAnsi="宋体" w:cs="宋体"/>
          <w:snapToGrid w:val="0"/>
          <w:szCs w:val="21"/>
        </w:rPr>
        <w:t>4.供应商需提供培训计划。</w:t>
      </w:r>
    </w:p>
    <w:p w14:paraId="5B6FAD5A">
      <w:pPr>
        <w:spacing w:line="360" w:lineRule="auto"/>
        <w:ind w:firstLine="420" w:firstLineChars="200"/>
        <w:rPr>
          <w:rFonts w:ascii="宋体" w:hAnsi="宋体" w:cs="宋体"/>
          <w:snapToGrid w:val="0"/>
          <w:szCs w:val="21"/>
        </w:rPr>
      </w:pPr>
      <w:r>
        <w:rPr>
          <w:rFonts w:hint="eastAsia" w:ascii="宋体" w:hAnsi="宋体" w:cs="宋体"/>
          <w:snapToGrid w:val="0"/>
          <w:szCs w:val="21"/>
        </w:rPr>
        <w:t>5.供应商需提供产品操作手册纸质文件和电子文件。</w:t>
      </w:r>
    </w:p>
    <w:p w14:paraId="4CFD1FCA">
      <w:pPr>
        <w:spacing w:line="360" w:lineRule="auto"/>
        <w:ind w:firstLine="420" w:firstLineChars="200"/>
        <w:rPr>
          <w:rFonts w:ascii="宋体" w:hAnsi="宋体" w:cs="宋体"/>
          <w:snapToGrid w:val="0"/>
          <w:szCs w:val="21"/>
        </w:rPr>
      </w:pPr>
      <w:r>
        <w:rPr>
          <w:rFonts w:hint="eastAsia" w:ascii="宋体" w:hAnsi="宋体" w:cs="宋体"/>
          <w:snapToGrid w:val="0"/>
          <w:szCs w:val="21"/>
        </w:rPr>
        <w:t>（四）售后服务要求</w:t>
      </w:r>
    </w:p>
    <w:p w14:paraId="5752AEA5">
      <w:pPr>
        <w:spacing w:line="360" w:lineRule="auto"/>
        <w:ind w:firstLine="420" w:firstLineChars="200"/>
        <w:rPr>
          <w:rFonts w:ascii="宋体" w:hAnsi="宋体" w:cs="宋体"/>
          <w:snapToGrid w:val="0"/>
          <w:szCs w:val="21"/>
        </w:rPr>
      </w:pPr>
      <w:r>
        <w:rPr>
          <w:rFonts w:hint="eastAsia" w:ascii="宋体" w:hAnsi="宋体" w:cs="宋体"/>
          <w:snapToGrid w:val="0"/>
          <w:szCs w:val="21"/>
        </w:rPr>
        <w:t>1.系统维护期期满后，如果采购人继续聘请成交人对本合同所规定的系统进行维护，每年维护费为不超过合同总金额的</w:t>
      </w:r>
      <w:r>
        <w:rPr>
          <w:rFonts w:hint="eastAsia" w:ascii="宋体" w:hAnsi="宋体" w:cs="宋体"/>
          <w:snapToGrid w:val="0"/>
          <w:szCs w:val="21"/>
          <w:lang w:val="en-US" w:eastAsia="zh-CN"/>
        </w:rPr>
        <w:t>8</w:t>
      </w:r>
      <w:r>
        <w:rPr>
          <w:rFonts w:hint="eastAsia" w:ascii="宋体" w:hAnsi="宋体" w:cs="宋体"/>
          <w:snapToGrid w:val="0"/>
          <w:szCs w:val="21"/>
        </w:rPr>
        <w:t>%。除人为因素（如机械损伤）、鼠害和不可抗力（如地震等）外，在维护期内，信息系统的所有维护均含在维护费内，采购人无需额外支付任何费用，并由成交人提供现场服务。成交人在每个收费维护年起始前一个月内，向采购人提出维护费支付申请。成交人提出维护费支付申请和采购人按期支付维护费时，维护关系生效。当成交人不提出维护费支付申请或采购人不支付维护费时，维护关系自然终止。</w:t>
      </w:r>
    </w:p>
    <w:p w14:paraId="3C604A5A">
      <w:pPr>
        <w:spacing w:line="360" w:lineRule="auto"/>
        <w:ind w:firstLine="420" w:firstLineChars="200"/>
        <w:rPr>
          <w:rFonts w:ascii="宋体" w:hAnsi="宋体" w:cs="宋体"/>
          <w:snapToGrid w:val="0"/>
          <w:szCs w:val="21"/>
        </w:rPr>
      </w:pPr>
      <w:r>
        <w:rPr>
          <w:rFonts w:hint="eastAsia" w:ascii="宋体" w:hAnsi="宋体" w:cs="宋体"/>
          <w:snapToGrid w:val="0"/>
          <w:szCs w:val="21"/>
        </w:rPr>
        <w:t>2.系统发生故障后，自报障时起算，半个小时内响应，通过互联网手段远程无法解决的问题，成交人应</w:t>
      </w:r>
      <w:r>
        <w:rPr>
          <w:rFonts w:hint="eastAsia" w:ascii="宋体" w:hAnsi="宋体" w:cs="宋体"/>
          <w:snapToGrid w:val="0"/>
          <w:szCs w:val="21"/>
          <w:lang w:val="en-US" w:eastAsia="zh-CN"/>
        </w:rPr>
        <w:t>2</w:t>
      </w:r>
      <w:r>
        <w:rPr>
          <w:rFonts w:hint="eastAsia" w:ascii="宋体" w:hAnsi="宋体" w:cs="宋体"/>
          <w:snapToGrid w:val="0"/>
          <w:szCs w:val="21"/>
        </w:rPr>
        <w:t>小时内到达现场，</w:t>
      </w:r>
      <w:r>
        <w:rPr>
          <w:rFonts w:hint="eastAsia" w:ascii="宋体" w:hAnsi="宋体" w:cs="宋体"/>
          <w:snapToGrid w:val="0"/>
          <w:szCs w:val="21"/>
          <w:lang w:val="en-US" w:eastAsia="zh-CN"/>
        </w:rPr>
        <w:t>24</w:t>
      </w:r>
      <w:r>
        <w:rPr>
          <w:rFonts w:hint="eastAsia" w:ascii="宋体" w:hAnsi="宋体" w:cs="宋体"/>
          <w:snapToGrid w:val="0"/>
          <w:szCs w:val="21"/>
        </w:rPr>
        <w:t>小时内解决问题。</w:t>
      </w:r>
    </w:p>
    <w:p w14:paraId="1DBA36ED">
      <w:pPr>
        <w:spacing w:line="360" w:lineRule="auto"/>
        <w:ind w:firstLine="420" w:firstLineChars="200"/>
        <w:rPr>
          <w:rFonts w:ascii="宋体" w:hAnsi="宋体" w:cs="宋体"/>
          <w:snapToGrid w:val="0"/>
          <w:szCs w:val="21"/>
        </w:rPr>
      </w:pPr>
      <w:r>
        <w:rPr>
          <w:rFonts w:hint="eastAsia" w:ascii="宋体" w:hAnsi="宋体" w:cs="宋体"/>
          <w:snapToGrid w:val="0"/>
          <w:szCs w:val="21"/>
        </w:rPr>
        <w:t>3.成交人需负责培训采购人的使用人员，直至完全掌握信息系统的操作、日常维护保养及简单维修方法。</w:t>
      </w:r>
    </w:p>
    <w:p w14:paraId="7DDD4121">
      <w:pPr>
        <w:spacing w:line="360" w:lineRule="auto"/>
        <w:ind w:firstLine="420" w:firstLineChars="200"/>
        <w:rPr>
          <w:rFonts w:ascii="宋体" w:hAnsi="宋体" w:cs="宋体"/>
          <w:snapToGrid w:val="0"/>
          <w:szCs w:val="21"/>
        </w:rPr>
      </w:pPr>
      <w:r>
        <w:rPr>
          <w:rFonts w:hint="eastAsia" w:ascii="宋体" w:hAnsi="宋体" w:cs="宋体"/>
          <w:snapToGrid w:val="0"/>
          <w:szCs w:val="21"/>
        </w:rPr>
        <w:t>4.所供系统，在今后利用新技术从硬件或软件方面有任何性能或功能的改进以及产品革新，供应商有义务书面通知采购人其改进和详细情况，并提供升级服务；新增功能以优惠价格报价，为采购人提供选择。</w:t>
      </w:r>
    </w:p>
    <w:p w14:paraId="2B452B82">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（五）其他商务要求</w:t>
      </w:r>
    </w:p>
    <w:p w14:paraId="31E99C31">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1.保密义务</w:t>
      </w:r>
    </w:p>
    <w:p w14:paraId="0DE8163D">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采购人、成交人双方在采购和履行合同过程中所获悉的所有信息都属于保密的内容，采购人成交人双方均有保密义务。</w:t>
      </w:r>
    </w:p>
    <w:p w14:paraId="37625F78">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2.合同的变更</w:t>
      </w:r>
    </w:p>
    <w:p w14:paraId="6DC4DCE0">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2.1.在合同履行过程中，采购人、成交人双方可就合同履行的时间、地点和方式等协商进行变更。协商一致后，双方应签订书面的补充协议。</w:t>
      </w:r>
    </w:p>
    <w:p w14:paraId="6CFA5656">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2.2.在不改变合同其他条款的前提下，采购人有权在合同价款改变百分之十的范围内追加与合同标的相同的货物或服务，并就此与成交人签订补充合同，成交人不得拒绝。</w:t>
      </w:r>
    </w:p>
    <w:p w14:paraId="43D37E43">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2.3.除了双方签署书面协议，并成为合同不可分割的一部分之外，合同条件不得有任何变更。</w:t>
      </w:r>
    </w:p>
    <w:p w14:paraId="0D4CA52F">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3.合同转让</w:t>
      </w:r>
    </w:p>
    <w:p w14:paraId="1628FEEA">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成交人不得以任何形式部分或全部转让其应履行的合同义务。</w:t>
      </w:r>
    </w:p>
    <w:p w14:paraId="4191665F">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4.解决争议的方法</w:t>
      </w:r>
    </w:p>
    <w:p w14:paraId="178A9A2D">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4.1.合同各方应通过友好协商，解决在执行合同过程中所发生的或与合同有关的一切争端。</w:t>
      </w:r>
    </w:p>
    <w:p w14:paraId="3503BDD3">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4.2.如协商不能解决，任一方可向采购人所在地的人民法院提起诉讼。</w:t>
      </w:r>
    </w:p>
    <w:p w14:paraId="4A65CF89">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4.3.在诉讼期间，除正在进行诉讼的部分外，合同的其他部分应继续执行。</w:t>
      </w:r>
    </w:p>
    <w:p w14:paraId="6C035B5A">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5.合同语言</w:t>
      </w:r>
    </w:p>
    <w:p w14:paraId="792996B3">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合同以及双方来往的与合同有关的信件、传真和其它文件应用中文书写。</w:t>
      </w:r>
    </w:p>
    <w:p w14:paraId="3181A3E9">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6.法律适用</w:t>
      </w:r>
    </w:p>
    <w:p w14:paraId="5164FCE5">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合同适用中华人民共和国现行法律、行政法规和规章，如合同条款与法律、行政法规和规章不一致的，按照法律、行政法规和规章修改合同。</w:t>
      </w:r>
    </w:p>
    <w:p w14:paraId="49FF26DB">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7.通知</w:t>
      </w:r>
    </w:p>
    <w:p w14:paraId="668CF927">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7.1.合同一方给另一方的通知均应采用书面形式，传真或快递送到对方的地址和办理签收手续。</w:t>
      </w:r>
    </w:p>
    <w:p w14:paraId="7DF5C147">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7.2.通知以送到之日或通知书中规定的生效之日起生效，两者中以较迟之日为准。</w:t>
      </w:r>
    </w:p>
    <w:p w14:paraId="0F250A34">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8.知识产权</w:t>
      </w:r>
    </w:p>
    <w:p w14:paraId="1DC54749">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8.1.成交人应保证采购人在使用该货物或其任何一部分时免受第三方提出侵犯其专利、商标、版权等知识产权或商品名称及其他权利的起诉及索赔。若采购人因此被第三方起诉或以其它方式追究责任，成交人应赔偿因采购人被第三方索赔所引起的一切损失，包括但不限于采购人所支付的侵权损害赔偿费、律师费、诉讼费、仲裁费、办案差旅费等因应诉、沟通协调所发的一切费用。</w:t>
      </w:r>
    </w:p>
    <w:p w14:paraId="5BFEEA1F">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8.2.除第三人依法享有知识产权的除外，成交人实施本项目所形成成果的知识产权归采购人所有，未经采购人许可，成交人不得随意使用。</w:t>
      </w:r>
    </w:p>
    <w:p w14:paraId="2DCEA779">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9.合同解除和终止</w:t>
      </w:r>
    </w:p>
    <w:p w14:paraId="2AC7F909">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如果成交人未能在协议规定的限期或采购人同意延长的限期内提供部分或全部货物/服务，采购人可向成交人发出书面的违约通知书，提出终止部份或全部协议。采购人可在任何时候出于自身的便利向成交人发出书面通知终止部分合同，采购人在合同总价中扣除该终止部分货物/服务的价款，并不再对成交人作出额外赔偿。</w:t>
      </w:r>
    </w:p>
    <w:p w14:paraId="24C32DA1">
      <w:pPr>
        <w:pStyle w:val="14"/>
        <w:tabs>
          <w:tab w:val="left" w:pos="540"/>
        </w:tabs>
        <w:adjustRightInd w:val="0"/>
        <w:snapToGrid w:val="0"/>
        <w:spacing w:line="360" w:lineRule="auto"/>
        <w:ind w:firstLine="420" w:firstLineChars="200"/>
        <w:rPr>
          <w:rFonts w:hAnsi="宋体" w:cs="宋体"/>
          <w:bCs/>
          <w:sz w:val="21"/>
        </w:rPr>
      </w:pPr>
      <w:r>
        <w:rPr>
          <w:rFonts w:hint="eastAsia" w:hAnsi="宋体" w:cs="宋体"/>
          <w:bCs/>
          <w:sz w:val="21"/>
        </w:rPr>
        <w:t>10.税费</w:t>
      </w:r>
    </w:p>
    <w:p w14:paraId="616F029C">
      <w:pPr>
        <w:pStyle w:val="14"/>
        <w:tabs>
          <w:tab w:val="left" w:pos="540"/>
        </w:tabs>
        <w:adjustRightInd w:val="0"/>
        <w:snapToGrid w:val="0"/>
        <w:spacing w:line="360" w:lineRule="auto"/>
        <w:ind w:firstLine="420" w:firstLineChars="200"/>
        <w:rPr>
          <w:rFonts w:hint="eastAsia" w:hAnsi="宋体" w:cs="宋体"/>
          <w:bCs/>
          <w:sz w:val="21"/>
        </w:rPr>
      </w:pPr>
      <w:r>
        <w:rPr>
          <w:rFonts w:hint="eastAsia" w:hAnsi="宋体" w:cs="宋体"/>
          <w:bCs/>
          <w:sz w:val="21"/>
        </w:rPr>
        <w:t>中国政府根据现行税法向成交人征收的与合同有关的一切税费均由成交人负责。</w:t>
      </w:r>
    </w:p>
    <w:p w14:paraId="5FA66A6B">
      <w:pPr>
        <w:pStyle w:val="14"/>
        <w:numPr>
          <w:ilvl w:val="0"/>
          <w:numId w:val="4"/>
        </w:numPr>
        <w:tabs>
          <w:tab w:val="left" w:pos="540"/>
          <w:tab w:val="clear" w:pos="312"/>
        </w:tabs>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项目要求成交供应商承诺本次与医院病案、HIS、财务、人事、手麻、重症、检验、输血、院感、用药、病理、急诊、检查、不良事件、单病种、DRG等业务系统或医院数据集成平台实行无缝连接，通过集成或接口方式保证升级改造后与医院现有各系统之间数据的实时交互，实现数据共享与互联互通。如涉及到与原厂商进行系统开发对接的代码和费用问题，由采购人协助中标人与系统原厂商协商，所产生的费用由中标人全部自行承担。</w:t>
      </w:r>
    </w:p>
    <w:p w14:paraId="75C2D4E2">
      <w:pPr>
        <w:pStyle w:val="14"/>
        <w:numPr>
          <w:ilvl w:val="0"/>
          <w:numId w:val="4"/>
        </w:numPr>
        <w:tabs>
          <w:tab w:val="left" w:pos="540"/>
          <w:tab w:val="clear" w:pos="312"/>
        </w:tabs>
        <w:adjustRightInd w:val="0"/>
        <w:snapToGrid w:val="0"/>
        <w:spacing w:line="360" w:lineRule="auto"/>
        <w:ind w:firstLine="420" w:firstLineChars="200"/>
        <w:rPr>
          <w:rFonts w:hint="default" w:ascii="宋体" w:hAnsi="宋体"/>
          <w:color w:val="auto"/>
          <w:sz w:val="21"/>
          <w:szCs w:val="21"/>
          <w:highlight w:val="none"/>
          <w:lang w:val="en-US" w:eastAsia="zh-CN"/>
        </w:rPr>
      </w:pPr>
      <w:r>
        <w:rPr>
          <w:rFonts w:hint="eastAsia" w:hAnsi="宋体"/>
          <w:color w:val="auto"/>
          <w:sz w:val="21"/>
          <w:szCs w:val="21"/>
          <w:highlight w:val="none"/>
          <w:lang w:val="en-US" w:eastAsia="zh-CN"/>
        </w:rPr>
        <w:t>系统所需的硬件资源（服务器）可由成交供应商提供。如由采购人（院方）提供，成交供应商应在合同签订后7个日历日内，向采购人提交详细的硬件配置要求（包括但不限于CPU、内存、存储、网络等），由采购人确认其现有环境是否满足系统部署需求。</w:t>
      </w:r>
    </w:p>
    <w:p w14:paraId="2E465A8E">
      <w:pPr>
        <w:numPr>
          <w:ilvl w:val="0"/>
          <w:numId w:val="5"/>
        </w:numPr>
        <w:spacing w:line="360" w:lineRule="auto"/>
        <w:rPr>
          <w:rFonts w:ascii="宋体" w:hAnsi="宋体" w:cs="宋体"/>
          <w:b/>
          <w:bCs/>
          <w:kern w:val="44"/>
          <w:szCs w:val="21"/>
        </w:rPr>
      </w:pPr>
      <w:r>
        <w:rPr>
          <w:rFonts w:hint="eastAsia" w:ascii="宋体" w:hAnsi="宋体" w:cs="宋体"/>
          <w:b/>
          <w:bCs/>
          <w:kern w:val="44"/>
          <w:szCs w:val="21"/>
        </w:rPr>
        <w:t>响应报价及付款方式</w:t>
      </w:r>
    </w:p>
    <w:p w14:paraId="5FE32B8C">
      <w:pPr>
        <w:pStyle w:val="7"/>
        <w:spacing w:line="360" w:lineRule="auto"/>
        <w:rPr>
          <w:rFonts w:ascii="宋体" w:hAnsi="宋体" w:cs="宋体"/>
          <w:sz w:val="21"/>
          <w:szCs w:val="21"/>
        </w:rPr>
      </w:pPr>
      <w:r>
        <w:rPr>
          <w:rFonts w:hint="eastAsia" w:ascii="宋体" w:hAnsi="宋体" w:cs="宋体"/>
          <w:sz w:val="21"/>
          <w:szCs w:val="21"/>
        </w:rPr>
        <w:t>(一)响应报价</w:t>
      </w:r>
    </w:p>
    <w:p w14:paraId="3E14C162">
      <w:pPr>
        <w:pStyle w:val="7"/>
        <w:spacing w:line="360" w:lineRule="auto"/>
        <w:rPr>
          <w:rFonts w:ascii="宋体" w:hAnsi="宋体" w:cs="宋体"/>
          <w:sz w:val="21"/>
          <w:szCs w:val="21"/>
        </w:rPr>
      </w:pPr>
      <w:r>
        <w:rPr>
          <w:rFonts w:hint="eastAsia" w:ascii="宋体" w:hAnsi="宋体" w:cs="宋体"/>
          <w:sz w:val="21"/>
          <w:szCs w:val="21"/>
        </w:rPr>
        <w:t>1、本项目服务费采用包干制，应包括服务成本、法定税费和利润。由企业根据采购文件所提供的资料自行测算响应报价；一经成交，响应报价总价作为成交单位与采购单位</w:t>
      </w:r>
      <w:r>
        <w:rPr>
          <w:rFonts w:hint="eastAsia" w:ascii="宋体" w:hAnsi="宋体" w:cs="宋体"/>
          <w:sz w:val="21"/>
          <w:szCs w:val="21"/>
          <w:lang w:val="en-US" w:eastAsia="zh-CN"/>
        </w:rPr>
        <w:t>签订</w:t>
      </w:r>
      <w:bookmarkStart w:id="3" w:name="_GoBack"/>
      <w:bookmarkEnd w:id="3"/>
      <w:r>
        <w:rPr>
          <w:rFonts w:hint="eastAsia" w:ascii="宋体" w:hAnsi="宋体" w:cs="宋体"/>
          <w:sz w:val="21"/>
          <w:szCs w:val="21"/>
        </w:rPr>
        <w:t>的合同金额，合同期限内不做调整；</w:t>
      </w:r>
    </w:p>
    <w:p w14:paraId="49FF6866">
      <w:pPr>
        <w:pStyle w:val="7"/>
        <w:spacing w:line="360" w:lineRule="auto"/>
        <w:rPr>
          <w:rFonts w:ascii="宋体" w:hAnsi="宋体" w:cs="宋体"/>
          <w:sz w:val="21"/>
          <w:szCs w:val="21"/>
        </w:rPr>
      </w:pPr>
      <w:r>
        <w:rPr>
          <w:rFonts w:hint="eastAsia" w:ascii="宋体" w:hAnsi="宋体" w:cs="宋体"/>
          <w:sz w:val="21"/>
          <w:szCs w:val="21"/>
        </w:rPr>
        <w:t>2、供应商应根据其成本自行决定报价。评审委员会认为供应商的报价明显低于其他通过符合性审查供应商的报价，有可能影响服务质量或不能诚信履约的，将会要求该供应商在合理的时间内提供书面说明，必要时提交相关证明材料。供应商不能证明其报价合理性的，评审委员会应将其作为无效响应处理。若评审委员会成员对是否须由供应商作出报价合理性说明，以及书面说明是否采纳等判断不一致的，按照“少数服从多数”的原则确定评审委员会的意见。</w:t>
      </w:r>
    </w:p>
    <w:p w14:paraId="66C4D743">
      <w:pPr>
        <w:pStyle w:val="7"/>
        <w:spacing w:line="360" w:lineRule="auto"/>
        <w:rPr>
          <w:rFonts w:ascii="宋体" w:hAnsi="宋体" w:cs="宋体"/>
          <w:sz w:val="21"/>
          <w:szCs w:val="21"/>
        </w:rPr>
      </w:pPr>
      <w:r>
        <w:rPr>
          <w:rFonts w:hint="eastAsia" w:ascii="宋体" w:hAnsi="宋体" w:cs="宋体"/>
          <w:sz w:val="21"/>
          <w:szCs w:val="21"/>
        </w:rPr>
        <w:t>3、如果成交价低于财政预算限额的70%，该项目将被列为优先实施履约检查的项目。</w:t>
      </w:r>
    </w:p>
    <w:p w14:paraId="1967638B">
      <w:pPr>
        <w:pStyle w:val="7"/>
        <w:spacing w:line="360" w:lineRule="auto"/>
        <w:rPr>
          <w:rFonts w:ascii="宋体" w:hAnsi="宋体" w:cs="宋体"/>
          <w:sz w:val="21"/>
          <w:szCs w:val="21"/>
        </w:rPr>
      </w:pPr>
      <w:r>
        <w:rPr>
          <w:rFonts w:hint="eastAsia" w:ascii="宋体" w:hAnsi="宋体" w:cs="宋体"/>
          <w:sz w:val="21"/>
          <w:szCs w:val="21"/>
        </w:rPr>
        <w:t>4、供应商的响应报价不得超过财政预算限额，如设响应最高限价的，报价不得超过最高限价；</w:t>
      </w:r>
    </w:p>
    <w:p w14:paraId="538D075A">
      <w:pPr>
        <w:pStyle w:val="7"/>
        <w:spacing w:line="360" w:lineRule="auto"/>
        <w:rPr>
          <w:rFonts w:ascii="宋体" w:hAnsi="宋体" w:cs="宋体"/>
          <w:sz w:val="21"/>
          <w:szCs w:val="21"/>
        </w:rPr>
      </w:pPr>
      <w:r>
        <w:rPr>
          <w:rFonts w:hint="eastAsia" w:ascii="宋体" w:hAnsi="宋体" w:cs="宋体"/>
          <w:sz w:val="21"/>
          <w:szCs w:val="21"/>
        </w:rPr>
        <w:t>5、供应商的响应报价，应是本项目采购范围和采购文件及合同条款上所列的各项内容中所述的全部，不得以任何理由予以重复，并以供应商在中提出的综合单价或总价为依据；</w:t>
      </w:r>
    </w:p>
    <w:p w14:paraId="300E171E">
      <w:pPr>
        <w:pStyle w:val="7"/>
        <w:spacing w:line="360" w:lineRule="auto"/>
        <w:rPr>
          <w:rFonts w:ascii="宋体" w:hAnsi="宋体" w:cs="宋体"/>
          <w:sz w:val="21"/>
          <w:szCs w:val="21"/>
        </w:rPr>
      </w:pPr>
      <w:r>
        <w:rPr>
          <w:rFonts w:hint="eastAsia" w:ascii="宋体" w:hAnsi="宋体" w:cs="宋体"/>
          <w:sz w:val="21"/>
          <w:szCs w:val="21"/>
        </w:rPr>
        <w:t>6、除非政府集中采购机构通过修改采购文件予以更正，否则，供应商应毫无例外地按采购文件所列的清单中项目和数量填报综合单价和合价。供应商未填综合单价或合价的项目，视作该项费用已包括在其它有价款的综合单价或合价内；</w:t>
      </w:r>
    </w:p>
    <w:p w14:paraId="4781A99F">
      <w:pPr>
        <w:pStyle w:val="7"/>
        <w:spacing w:line="360" w:lineRule="auto"/>
        <w:rPr>
          <w:rFonts w:ascii="宋体" w:hAnsi="宋体" w:cs="宋体"/>
          <w:sz w:val="21"/>
          <w:szCs w:val="21"/>
        </w:rPr>
      </w:pPr>
      <w:r>
        <w:rPr>
          <w:rFonts w:hint="eastAsia" w:ascii="宋体" w:hAnsi="宋体" w:cs="宋体"/>
          <w:sz w:val="21"/>
          <w:szCs w:val="21"/>
        </w:rPr>
        <w:t>7、供应商应先到项目地点踏勘以充分了解项目的位置、情况、道路及任何其它足以影响响应报价的情况，任何因忽视或误解项目情况而导致的索赔或服务期限延长申请将不获批准；</w:t>
      </w:r>
    </w:p>
    <w:p w14:paraId="4377CD69">
      <w:pPr>
        <w:pStyle w:val="7"/>
        <w:spacing w:line="360" w:lineRule="auto"/>
        <w:rPr>
          <w:rFonts w:ascii="宋体" w:hAnsi="宋体" w:cs="宋体"/>
          <w:sz w:val="21"/>
          <w:szCs w:val="21"/>
        </w:rPr>
      </w:pPr>
      <w:r>
        <w:rPr>
          <w:rFonts w:hint="eastAsia" w:ascii="宋体" w:hAnsi="宋体" w:cs="宋体"/>
          <w:sz w:val="21"/>
          <w:szCs w:val="21"/>
        </w:rPr>
        <w:t>8、供应商不得期望通过索赔等方式获取补偿，否则，除可能遭到拒绝外，还可能将被作为不良行为记录在案，并可能影响其以后参加政府采购的项目响应。各供应商在响应报价时，应充分考虑响应报价的风险。</w:t>
      </w:r>
    </w:p>
    <w:p w14:paraId="5C04A68F">
      <w:pPr>
        <w:pStyle w:val="7"/>
        <w:spacing w:line="360" w:lineRule="auto"/>
        <w:rPr>
          <w:rFonts w:ascii="宋体" w:hAnsi="宋体" w:cs="宋体"/>
          <w:sz w:val="21"/>
          <w:szCs w:val="21"/>
        </w:rPr>
      </w:pPr>
      <w:r>
        <w:rPr>
          <w:rFonts w:hint="eastAsia" w:ascii="宋体" w:hAnsi="宋体" w:cs="宋体"/>
          <w:sz w:val="21"/>
          <w:szCs w:val="21"/>
        </w:rPr>
        <w:t>（二）付款方式</w:t>
      </w:r>
    </w:p>
    <w:p w14:paraId="2C97CDCC">
      <w:pPr>
        <w:pStyle w:val="7"/>
        <w:numPr>
          <w:ilvl w:val="0"/>
          <w:numId w:val="6"/>
        </w:numPr>
        <w:spacing w:line="360" w:lineRule="auto"/>
        <w:ind w:left="845" w:leftChars="0" w:hanging="425" w:firstLineChars="0"/>
        <w:rPr>
          <w:rFonts w:ascii="宋体" w:hAnsi="宋体" w:cs="宋体"/>
          <w:sz w:val="21"/>
          <w:szCs w:val="21"/>
        </w:rPr>
      </w:pPr>
      <w:r>
        <w:rPr>
          <w:rFonts w:hint="eastAsia" w:ascii="宋体" w:hAnsi="宋体" w:cs="宋体"/>
          <w:sz w:val="21"/>
          <w:szCs w:val="21"/>
        </w:rPr>
        <w:t>合同款支付：</w:t>
      </w:r>
    </w:p>
    <w:p w14:paraId="00680E05">
      <w:pPr>
        <w:pStyle w:val="7"/>
        <w:numPr>
          <w:ilvl w:val="1"/>
          <w:numId w:val="6"/>
        </w:numPr>
        <w:spacing w:line="360" w:lineRule="auto"/>
        <w:ind w:left="1270" w:leftChars="0" w:hanging="453" w:firstLineChars="0"/>
        <w:rPr>
          <w:rFonts w:hint="eastAsia" w:ascii="宋体" w:hAnsi="宋体" w:cs="宋体"/>
          <w:sz w:val="21"/>
          <w:szCs w:val="21"/>
        </w:rPr>
      </w:pPr>
      <w:r>
        <w:rPr>
          <w:rFonts w:hint="eastAsia" w:ascii="宋体" w:hAnsi="宋体" w:cs="宋体"/>
          <w:sz w:val="21"/>
          <w:szCs w:val="21"/>
        </w:rPr>
        <w:t>采购合同签订后，采购人自收到发票后10个工作日内支付</w:t>
      </w:r>
      <w:r>
        <w:rPr>
          <w:rFonts w:hint="eastAsia" w:ascii="宋体" w:hAnsi="宋体" w:cs="宋体"/>
          <w:sz w:val="21"/>
          <w:szCs w:val="21"/>
          <w:lang w:val="en-US" w:eastAsia="zh-CN"/>
        </w:rPr>
        <w:t>30</w:t>
      </w:r>
      <w:r>
        <w:rPr>
          <w:rFonts w:hint="eastAsia" w:ascii="宋体" w:hAnsi="宋体" w:cs="宋体"/>
          <w:sz w:val="21"/>
          <w:szCs w:val="21"/>
        </w:rPr>
        <w:t>%的</w:t>
      </w:r>
      <w:r>
        <w:rPr>
          <w:rFonts w:hint="eastAsia" w:ascii="宋体" w:hAnsi="宋体" w:cs="宋体"/>
          <w:sz w:val="21"/>
          <w:szCs w:val="21"/>
          <w:lang w:val="en-US" w:eastAsia="zh-CN"/>
        </w:rPr>
        <w:t>首</w:t>
      </w:r>
      <w:r>
        <w:rPr>
          <w:rFonts w:hint="eastAsia" w:ascii="宋体" w:hAnsi="宋体" w:cs="宋体"/>
          <w:sz w:val="21"/>
          <w:szCs w:val="21"/>
        </w:rPr>
        <w:t>付款给成交人。</w:t>
      </w:r>
    </w:p>
    <w:p w14:paraId="0261FB9A">
      <w:pPr>
        <w:pStyle w:val="7"/>
        <w:numPr>
          <w:ilvl w:val="1"/>
          <w:numId w:val="6"/>
        </w:numPr>
        <w:spacing w:line="360" w:lineRule="auto"/>
        <w:ind w:left="1270" w:leftChars="0" w:hanging="453" w:firstLineChars="0"/>
        <w:rPr>
          <w:rFonts w:hint="eastAsia" w:ascii="宋体" w:hAnsi="宋体" w:cs="宋体"/>
          <w:sz w:val="21"/>
          <w:szCs w:val="21"/>
        </w:rPr>
      </w:pPr>
      <w:r>
        <w:rPr>
          <w:rFonts w:hint="eastAsia" w:ascii="宋体" w:hAnsi="宋体" w:cs="宋体"/>
          <w:sz w:val="21"/>
          <w:szCs w:val="21"/>
          <w:lang w:val="en-US" w:eastAsia="zh-CN"/>
        </w:rPr>
        <w:t>系统上线后，由供应商提供系统上线报告，采购人自收到成交人开具的等额合规发票之日起10个工作日内，向成交人支付合同总价的40%作为中期款。</w:t>
      </w:r>
    </w:p>
    <w:p w14:paraId="04193CA9">
      <w:pPr>
        <w:pStyle w:val="7"/>
        <w:numPr>
          <w:ilvl w:val="1"/>
          <w:numId w:val="6"/>
        </w:numPr>
        <w:spacing w:line="360" w:lineRule="auto"/>
        <w:ind w:left="1270" w:leftChars="0" w:hanging="453" w:firstLineChars="0"/>
        <w:rPr>
          <w:rFonts w:hint="eastAsia" w:ascii="宋体" w:hAnsi="宋体" w:cs="宋体"/>
          <w:sz w:val="21"/>
          <w:szCs w:val="21"/>
        </w:rPr>
      </w:pPr>
      <w:r>
        <w:rPr>
          <w:rFonts w:hint="eastAsia" w:ascii="宋体" w:hAnsi="宋体" w:cs="宋体"/>
          <w:sz w:val="21"/>
          <w:szCs w:val="21"/>
        </w:rPr>
        <w:t>合同履行完毕后，采购人在收到供应商验收申请后</w:t>
      </w:r>
      <w:r>
        <w:rPr>
          <w:rFonts w:hint="eastAsia" w:ascii="宋体" w:hAnsi="宋体" w:cs="宋体"/>
          <w:sz w:val="21"/>
          <w:szCs w:val="21"/>
          <w:lang w:val="en-US"/>
        </w:rPr>
        <w:t>30</w:t>
      </w:r>
      <w:r>
        <w:rPr>
          <w:rFonts w:hint="eastAsia" w:ascii="宋体" w:hAnsi="宋体" w:cs="宋体"/>
          <w:sz w:val="21"/>
          <w:szCs w:val="21"/>
        </w:rPr>
        <w:t>日内组织履约验收。对于满足合同约定支付条件的，采购人自收到发票后10个工作日内完成剩余</w:t>
      </w:r>
      <w:r>
        <w:rPr>
          <w:rFonts w:hint="eastAsia" w:ascii="宋体" w:hAnsi="宋体" w:cs="宋体"/>
          <w:sz w:val="21"/>
          <w:szCs w:val="21"/>
          <w:lang w:val="en-US" w:eastAsia="zh-CN"/>
        </w:rPr>
        <w:t>30</w:t>
      </w:r>
      <w:r>
        <w:rPr>
          <w:rFonts w:hint="eastAsia" w:ascii="宋体" w:hAnsi="宋体" w:cs="宋体"/>
          <w:sz w:val="21"/>
          <w:szCs w:val="21"/>
        </w:rPr>
        <w:t>%资金支付。</w:t>
      </w:r>
    </w:p>
    <w:p w14:paraId="636E1B38">
      <w:pPr>
        <w:pStyle w:val="7"/>
        <w:numPr>
          <w:ilvl w:val="1"/>
          <w:numId w:val="6"/>
        </w:numPr>
        <w:spacing w:line="360" w:lineRule="auto"/>
        <w:ind w:left="1270" w:leftChars="0" w:hanging="453" w:firstLineChars="0"/>
        <w:rPr>
          <w:rFonts w:hint="eastAsia" w:ascii="宋体" w:hAnsi="宋体" w:cs="宋体"/>
          <w:sz w:val="21"/>
          <w:szCs w:val="21"/>
        </w:rPr>
      </w:pPr>
      <w:r>
        <w:rPr>
          <w:rFonts w:hint="eastAsia" w:ascii="宋体" w:hAnsi="宋体" w:cs="宋体"/>
          <w:sz w:val="21"/>
          <w:szCs w:val="21"/>
        </w:rPr>
        <w:t>每次按合同支付款项前，成交人应向采购人提供与支付金额相符的有效发票，且收款方、出具发票方、合同乙方均必须与成交人名称一致。</w:t>
      </w:r>
    </w:p>
    <w:p w14:paraId="0F8F8912">
      <w:pPr>
        <w:pStyle w:val="7"/>
        <w:numPr>
          <w:ilvl w:val="1"/>
          <w:numId w:val="6"/>
        </w:numPr>
        <w:spacing w:line="360" w:lineRule="auto"/>
        <w:ind w:left="1270" w:leftChars="0" w:hanging="453" w:firstLineChars="0"/>
        <w:rPr>
          <w:rFonts w:hint="eastAsia" w:ascii="宋体" w:hAnsi="宋体" w:cs="宋体"/>
          <w:sz w:val="21"/>
          <w:szCs w:val="21"/>
        </w:rPr>
      </w:pPr>
      <w:r>
        <w:rPr>
          <w:rFonts w:hint="eastAsia" w:ascii="宋体" w:hAnsi="宋体" w:cs="宋体"/>
          <w:sz w:val="21"/>
          <w:szCs w:val="21"/>
        </w:rPr>
        <w:t>违约责任：采购人逾期支付合同款项的，除应当支付合同款项外，还应当每日按合同总价的3‰向成交人偿付违约金，但因成交人自身原因导致无法及时支付的除外。</w:t>
      </w:r>
    </w:p>
    <w:p w14:paraId="09E413B8">
      <w:pPr>
        <w:pStyle w:val="7"/>
        <w:numPr>
          <w:ilvl w:val="0"/>
          <w:numId w:val="6"/>
        </w:numPr>
        <w:spacing w:line="360" w:lineRule="auto"/>
        <w:ind w:left="845" w:leftChars="0" w:hanging="425" w:firstLineChars="0"/>
        <w:rPr>
          <w:rFonts w:hint="eastAsia" w:ascii="宋体" w:hAnsi="宋体" w:cs="宋体"/>
          <w:sz w:val="21"/>
          <w:szCs w:val="21"/>
        </w:rPr>
      </w:pPr>
      <w:r>
        <w:rPr>
          <w:rFonts w:hint="eastAsia" w:ascii="宋体" w:hAnsi="宋体" w:cs="宋体"/>
          <w:sz w:val="21"/>
          <w:szCs w:val="21"/>
        </w:rPr>
        <w:t>付款方式：采用银行对公转账方式支付。</w:t>
      </w:r>
    </w:p>
    <w:p w14:paraId="711167C8">
      <w:pPr>
        <w:numPr>
          <w:ilvl w:val="0"/>
          <w:numId w:val="5"/>
        </w:numPr>
        <w:spacing w:line="360" w:lineRule="auto"/>
        <w:rPr>
          <w:rFonts w:ascii="宋体" w:hAnsi="宋体" w:cs="宋体"/>
          <w:b/>
          <w:bCs/>
          <w:kern w:val="44"/>
          <w:szCs w:val="21"/>
        </w:rPr>
      </w:pPr>
      <w:r>
        <w:rPr>
          <w:rFonts w:hint="eastAsia" w:ascii="宋体" w:hAnsi="宋体" w:cs="宋体"/>
          <w:b/>
          <w:bCs/>
          <w:kern w:val="44"/>
          <w:szCs w:val="21"/>
          <w:lang w:val="en-US" w:eastAsia="zh-CN"/>
        </w:rPr>
        <w:t>验收标准</w:t>
      </w:r>
    </w:p>
    <w:p w14:paraId="39F5872F">
      <w:pPr>
        <w:pStyle w:val="2"/>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1.通过广东省卫健委数据上报接口测试，数据合规率≥95%。</w:t>
      </w:r>
    </w:p>
    <w:p w14:paraId="68133DE8">
      <w:pPr>
        <w:pStyle w:val="2"/>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2.完成医院现有HIS、EMR等系统对接，提供联调测试报告。</w:t>
      </w:r>
    </w:p>
    <w:p w14:paraId="237C5F35">
      <w:pPr>
        <w:pStyle w:val="2"/>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3.用户验收通过率≥90%，无重大功能缺陷。</w:t>
      </w:r>
    </w:p>
    <w:p w14:paraId="60154951">
      <w:pPr>
        <w:numPr>
          <w:ilvl w:val="0"/>
          <w:numId w:val="5"/>
        </w:numPr>
        <w:spacing w:line="360" w:lineRule="auto"/>
        <w:rPr>
          <w:rFonts w:ascii="宋体" w:hAnsi="宋体" w:cs="宋体"/>
          <w:b/>
          <w:bCs/>
          <w:kern w:val="44"/>
          <w:szCs w:val="21"/>
        </w:rPr>
      </w:pPr>
      <w:r>
        <w:rPr>
          <w:rFonts w:hint="eastAsia" w:ascii="宋体" w:hAnsi="宋体" w:cs="宋体"/>
          <w:b/>
          <w:bCs/>
          <w:kern w:val="44"/>
          <w:szCs w:val="21"/>
          <w:lang w:val="en-US" w:eastAsia="zh-CN"/>
        </w:rPr>
        <w:t>售后服务</w:t>
      </w:r>
    </w:p>
    <w:p w14:paraId="3E9D938D">
      <w:pPr>
        <w:pStyle w:val="2"/>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1.提供1年免费维保，含系统升级、故障响应（2小时内到场）、每年4次巡检。</w:t>
      </w:r>
    </w:p>
    <w:p w14:paraId="253EDD23">
      <w:pPr>
        <w:pStyle w:val="2"/>
        <w:ind w:firstLine="420" w:firstLineChars="200"/>
        <w:rPr>
          <w:rFonts w:hint="eastAsia" w:ascii="宋体" w:hAnsi="宋体" w:cs="宋体"/>
          <w:sz w:val="21"/>
          <w:szCs w:val="21"/>
        </w:rPr>
      </w:pPr>
      <w:r>
        <w:rPr>
          <w:rFonts w:hint="eastAsia" w:ascii="宋体" w:hAnsi="宋体" w:eastAsia="宋体" w:cs="宋体"/>
          <w:kern w:val="2"/>
          <w:sz w:val="21"/>
          <w:szCs w:val="21"/>
          <w:lang w:val="zh-CN" w:eastAsia="zh-CN" w:bidi="ar-SA"/>
        </w:rPr>
        <w:t>2.终身提供评审标准更新服务，新增指标开发费用不高于合同金额的15%。</w:t>
      </w:r>
    </w:p>
    <w:p w14:paraId="25EC0CD7">
      <w:pPr>
        <w:numPr>
          <w:ilvl w:val="0"/>
          <w:numId w:val="5"/>
        </w:numPr>
        <w:spacing w:line="360" w:lineRule="auto"/>
        <w:rPr>
          <w:rFonts w:ascii="宋体" w:hAnsi="宋体" w:cs="宋体"/>
          <w:b/>
          <w:bCs/>
          <w:kern w:val="44"/>
          <w:szCs w:val="21"/>
        </w:rPr>
      </w:pPr>
      <w:r>
        <w:rPr>
          <w:rFonts w:hint="eastAsia" w:ascii="宋体" w:hAnsi="宋体" w:cs="宋体"/>
          <w:b/>
          <w:bCs/>
          <w:kern w:val="44"/>
          <w:szCs w:val="21"/>
        </w:rPr>
        <w:t>注意事项</w:t>
      </w:r>
    </w:p>
    <w:p w14:paraId="6626F4F6">
      <w:pPr>
        <w:pStyle w:val="7"/>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rFonts w:ascii="宋体" w:hAnsi="宋体" w:cs="宋体"/>
          <w:sz w:val="21"/>
          <w:szCs w:val="21"/>
        </w:rPr>
      </w:pPr>
      <w:r>
        <w:rPr>
          <w:rFonts w:hint="eastAsia" w:ascii="宋体" w:hAnsi="宋体" w:cs="宋体"/>
          <w:sz w:val="21"/>
          <w:szCs w:val="21"/>
        </w:rPr>
        <w:t>1、供应商使用的标准必须是国际公认或国家、或地方政府颁布的同等或更高的标准，如供应商使用的标准低于上述标准,评审委员会将有权不予接受，供应商必须列表将明显的差异详细说明。</w:t>
      </w:r>
    </w:p>
    <w:p w14:paraId="50E542A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szCs w:val="21"/>
        </w:rPr>
      </w:pPr>
      <w:r>
        <w:rPr>
          <w:rFonts w:hint="eastAsia" w:ascii="宋体" w:hAnsi="宋体" w:cs="宋体"/>
          <w:szCs w:val="21"/>
        </w:rPr>
        <w:t>2、供应商须在法定质疑期内一次性提出针对同一采购程序环节的质疑。</w:t>
      </w:r>
    </w:p>
    <w:p w14:paraId="647458E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szCs w:val="21"/>
        </w:rPr>
      </w:pPr>
      <w:r>
        <w:rPr>
          <w:rFonts w:hint="eastAsia" w:ascii="宋体" w:hAnsi="宋体" w:cs="宋体"/>
          <w:szCs w:val="21"/>
        </w:rPr>
        <w:t>3、本项目按照政府采购相关法律法规和政策文件规定执行。</w:t>
      </w:r>
    </w:p>
    <w:p w14:paraId="595102C6"/>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9A03">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3677A"/>
    <w:multiLevelType w:val="singleLevel"/>
    <w:tmpl w:val="9FC3677A"/>
    <w:lvl w:ilvl="0" w:tentative="0">
      <w:start w:val="1"/>
      <w:numFmt w:val="chineseCounting"/>
      <w:suff w:val="nothing"/>
      <w:lvlText w:val="%1、"/>
      <w:lvlJc w:val="left"/>
      <w:pPr>
        <w:ind w:left="0" w:firstLine="420"/>
      </w:pPr>
      <w:rPr>
        <w:rFonts w:hint="eastAsia"/>
        <w:sz w:val="21"/>
        <w:szCs w:val="21"/>
      </w:rPr>
    </w:lvl>
  </w:abstractNum>
  <w:abstractNum w:abstractNumId="1">
    <w:nsid w:val="BD7AA81F"/>
    <w:multiLevelType w:val="multilevel"/>
    <w:tmpl w:val="BD7AA81F"/>
    <w:lvl w:ilvl="0" w:tentative="0">
      <w:start w:val="1"/>
      <w:numFmt w:val="decimal"/>
      <w:lvlText w:val="%1."/>
      <w:lvlJc w:val="left"/>
      <w:pPr>
        <w:tabs>
          <w:tab w:val="left" w:pos="420"/>
        </w:tabs>
        <w:ind w:left="845" w:hanging="425"/>
      </w:pPr>
      <w:rPr>
        <w:rFonts w:hint="default"/>
      </w:rPr>
    </w:lvl>
    <w:lvl w:ilvl="1" w:tentative="0">
      <w:start w:val="1"/>
      <w:numFmt w:val="decimal"/>
      <w:lvlText w:val="%1.%2."/>
      <w:lvlJc w:val="left"/>
      <w:pPr>
        <w:tabs>
          <w:tab w:val="left" w:pos="420"/>
        </w:tabs>
        <w:ind w:left="1270" w:hanging="453"/>
      </w:pPr>
      <w:rPr>
        <w:rFonts w:hint="default"/>
      </w:rPr>
    </w:lvl>
    <w:lvl w:ilvl="2" w:tentative="0">
      <w:start w:val="1"/>
      <w:numFmt w:val="decimal"/>
      <w:lvlText w:val="%1.%2.%3."/>
      <w:lvlJc w:val="left"/>
      <w:pPr>
        <w:tabs>
          <w:tab w:val="left" w:pos="420"/>
        </w:tabs>
        <w:ind w:left="1928" w:hanging="708"/>
      </w:pPr>
      <w:rPr>
        <w:rFonts w:hint="default"/>
      </w:rPr>
    </w:lvl>
    <w:lvl w:ilvl="3" w:tentative="0">
      <w:start w:val="1"/>
      <w:numFmt w:val="decimal"/>
      <w:lvlText w:val="%1.%2.%3.%4."/>
      <w:lvlJc w:val="left"/>
      <w:pPr>
        <w:tabs>
          <w:tab w:val="left" w:pos="420"/>
        </w:tabs>
        <w:ind w:left="2473" w:hanging="853"/>
      </w:pPr>
      <w:rPr>
        <w:rFonts w:hint="default"/>
      </w:rPr>
    </w:lvl>
    <w:lvl w:ilvl="4" w:tentative="0">
      <w:start w:val="1"/>
      <w:numFmt w:val="decimal"/>
      <w:lvlText w:val="%1.%2.%3.%4.%5."/>
      <w:lvlJc w:val="left"/>
      <w:pPr>
        <w:tabs>
          <w:tab w:val="left" w:pos="420"/>
        </w:tabs>
        <w:ind w:left="2915" w:hanging="895"/>
      </w:pPr>
      <w:rPr>
        <w:rFonts w:hint="default"/>
      </w:rPr>
    </w:lvl>
    <w:lvl w:ilvl="5" w:tentative="0">
      <w:start w:val="1"/>
      <w:numFmt w:val="decimal"/>
      <w:lvlText w:val="%1.%2.%3.%4.%5.%6."/>
      <w:lvlJc w:val="left"/>
      <w:pPr>
        <w:tabs>
          <w:tab w:val="left" w:pos="420"/>
        </w:tabs>
        <w:ind w:left="3556" w:hanging="1136"/>
      </w:pPr>
      <w:rPr>
        <w:rFonts w:hint="default"/>
      </w:rPr>
    </w:lvl>
    <w:lvl w:ilvl="6" w:tentative="0">
      <w:start w:val="1"/>
      <w:numFmt w:val="decimal"/>
      <w:lvlText w:val="%1.%2.%3.%4.%5.%6.%7."/>
      <w:lvlJc w:val="left"/>
      <w:pPr>
        <w:tabs>
          <w:tab w:val="left" w:pos="420"/>
        </w:tabs>
        <w:ind w:left="4093" w:hanging="1273"/>
      </w:pPr>
      <w:rPr>
        <w:rFonts w:hint="default"/>
      </w:rPr>
    </w:lvl>
    <w:lvl w:ilvl="7" w:tentative="0">
      <w:start w:val="1"/>
      <w:numFmt w:val="decimal"/>
      <w:lvlText w:val="%1.%2.%3.%4.%5.%6.%7.%8."/>
      <w:lvlJc w:val="left"/>
      <w:pPr>
        <w:tabs>
          <w:tab w:val="left" w:pos="420"/>
        </w:tabs>
        <w:ind w:left="4638" w:hanging="1418"/>
      </w:pPr>
      <w:rPr>
        <w:rFonts w:hint="default"/>
      </w:rPr>
    </w:lvl>
    <w:lvl w:ilvl="8" w:tentative="0">
      <w:start w:val="1"/>
      <w:numFmt w:val="decimal"/>
      <w:lvlText w:val="%1.%2.%3.%4.%5.%6.%7.%8.%9."/>
      <w:lvlJc w:val="left"/>
      <w:pPr>
        <w:tabs>
          <w:tab w:val="left" w:pos="420"/>
        </w:tabs>
        <w:ind w:left="5068" w:hanging="1448"/>
      </w:pPr>
      <w:rPr>
        <w:rFonts w:hint="default"/>
      </w:rPr>
    </w:lvl>
  </w:abstractNum>
  <w:abstractNum w:abstractNumId="2">
    <w:nsid w:val="D4656505"/>
    <w:multiLevelType w:val="singleLevel"/>
    <w:tmpl w:val="D4656505"/>
    <w:lvl w:ilvl="0" w:tentative="0">
      <w:start w:val="11"/>
      <w:numFmt w:val="decimal"/>
      <w:lvlText w:val="%1."/>
      <w:lvlJc w:val="left"/>
      <w:pPr>
        <w:tabs>
          <w:tab w:val="left" w:pos="312"/>
        </w:tabs>
      </w:pPr>
    </w:lvl>
  </w:abstractNum>
  <w:abstractNum w:abstractNumId="3">
    <w:nsid w:val="DFB56B69"/>
    <w:multiLevelType w:val="singleLevel"/>
    <w:tmpl w:val="DFB56B69"/>
    <w:lvl w:ilvl="0" w:tentative="0">
      <w:start w:val="1"/>
      <w:numFmt w:val="decimal"/>
      <w:lvlText w:val="%1."/>
      <w:lvlJc w:val="left"/>
      <w:pPr>
        <w:ind w:left="425" w:hanging="425"/>
      </w:pPr>
      <w:rPr>
        <w:rFonts w:hint="default"/>
      </w:rPr>
    </w:lvl>
  </w:abstractNum>
  <w:abstractNum w:abstractNumId="4">
    <w:nsid w:val="2770564C"/>
    <w:multiLevelType w:val="singleLevel"/>
    <w:tmpl w:val="2770564C"/>
    <w:lvl w:ilvl="0" w:tentative="0">
      <w:start w:val="3"/>
      <w:numFmt w:val="chineseCounting"/>
      <w:suff w:val="nothing"/>
      <w:lvlText w:val="%1、"/>
      <w:lvlJc w:val="left"/>
      <w:rPr>
        <w:rFonts w:hint="eastAsia"/>
      </w:rPr>
    </w:lvl>
  </w:abstractNum>
  <w:abstractNum w:abstractNumId="5">
    <w:nsid w:val="4F94D18F"/>
    <w:multiLevelType w:val="singleLevel"/>
    <w:tmpl w:val="4F94D18F"/>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ODYyNGU2NTAzZTI3ZjcwMjhkNWM2NTgxNTcyMGQifQ=="/>
  </w:docVars>
  <w:rsids>
    <w:rsidRoot w:val="00172A27"/>
    <w:rsid w:val="00000D42"/>
    <w:rsid w:val="0000243D"/>
    <w:rsid w:val="000028A9"/>
    <w:rsid w:val="00003198"/>
    <w:rsid w:val="00003C42"/>
    <w:rsid w:val="0000462D"/>
    <w:rsid w:val="00005012"/>
    <w:rsid w:val="00005325"/>
    <w:rsid w:val="0000539A"/>
    <w:rsid w:val="00005DD7"/>
    <w:rsid w:val="000063D7"/>
    <w:rsid w:val="00006869"/>
    <w:rsid w:val="0000724F"/>
    <w:rsid w:val="000078DA"/>
    <w:rsid w:val="000079AB"/>
    <w:rsid w:val="00007EA1"/>
    <w:rsid w:val="000101A8"/>
    <w:rsid w:val="00010A2C"/>
    <w:rsid w:val="00011504"/>
    <w:rsid w:val="00011764"/>
    <w:rsid w:val="000139AF"/>
    <w:rsid w:val="00013F1E"/>
    <w:rsid w:val="000148D1"/>
    <w:rsid w:val="0001492C"/>
    <w:rsid w:val="00014B6D"/>
    <w:rsid w:val="00015A5D"/>
    <w:rsid w:val="00016011"/>
    <w:rsid w:val="00016B29"/>
    <w:rsid w:val="00017F54"/>
    <w:rsid w:val="00020D82"/>
    <w:rsid w:val="00021388"/>
    <w:rsid w:val="000216C6"/>
    <w:rsid w:val="000223C1"/>
    <w:rsid w:val="00023377"/>
    <w:rsid w:val="00023673"/>
    <w:rsid w:val="00023BF7"/>
    <w:rsid w:val="00023C7F"/>
    <w:rsid w:val="00025066"/>
    <w:rsid w:val="00026B60"/>
    <w:rsid w:val="00030A24"/>
    <w:rsid w:val="0003157F"/>
    <w:rsid w:val="00031BE7"/>
    <w:rsid w:val="00032273"/>
    <w:rsid w:val="00032305"/>
    <w:rsid w:val="0003241B"/>
    <w:rsid w:val="00034B38"/>
    <w:rsid w:val="00035372"/>
    <w:rsid w:val="00035BAF"/>
    <w:rsid w:val="000369B5"/>
    <w:rsid w:val="00037EDA"/>
    <w:rsid w:val="00041628"/>
    <w:rsid w:val="000424F7"/>
    <w:rsid w:val="00044739"/>
    <w:rsid w:val="00045BC6"/>
    <w:rsid w:val="00045C5E"/>
    <w:rsid w:val="0005052A"/>
    <w:rsid w:val="000515C9"/>
    <w:rsid w:val="0005180D"/>
    <w:rsid w:val="00052F2C"/>
    <w:rsid w:val="000531F9"/>
    <w:rsid w:val="000535C4"/>
    <w:rsid w:val="0005420A"/>
    <w:rsid w:val="0005437A"/>
    <w:rsid w:val="00054A23"/>
    <w:rsid w:val="000550C8"/>
    <w:rsid w:val="0005547C"/>
    <w:rsid w:val="00055CB6"/>
    <w:rsid w:val="00056455"/>
    <w:rsid w:val="000566DC"/>
    <w:rsid w:val="000568C4"/>
    <w:rsid w:val="00056D12"/>
    <w:rsid w:val="000576C8"/>
    <w:rsid w:val="0006069A"/>
    <w:rsid w:val="00060B21"/>
    <w:rsid w:val="000611A0"/>
    <w:rsid w:val="00061BEF"/>
    <w:rsid w:val="00064A82"/>
    <w:rsid w:val="00064CE4"/>
    <w:rsid w:val="00071D03"/>
    <w:rsid w:val="0007266B"/>
    <w:rsid w:val="0007272D"/>
    <w:rsid w:val="000739EF"/>
    <w:rsid w:val="00074262"/>
    <w:rsid w:val="00074983"/>
    <w:rsid w:val="00075B05"/>
    <w:rsid w:val="00077D29"/>
    <w:rsid w:val="000800E4"/>
    <w:rsid w:val="000805C7"/>
    <w:rsid w:val="00080E30"/>
    <w:rsid w:val="00080E51"/>
    <w:rsid w:val="00080E69"/>
    <w:rsid w:val="0008289C"/>
    <w:rsid w:val="0008385C"/>
    <w:rsid w:val="00083B24"/>
    <w:rsid w:val="00083FEA"/>
    <w:rsid w:val="000855EF"/>
    <w:rsid w:val="000858CE"/>
    <w:rsid w:val="00086101"/>
    <w:rsid w:val="000867BC"/>
    <w:rsid w:val="00086A92"/>
    <w:rsid w:val="00086CA1"/>
    <w:rsid w:val="00086E14"/>
    <w:rsid w:val="000872B8"/>
    <w:rsid w:val="00087C56"/>
    <w:rsid w:val="00087D80"/>
    <w:rsid w:val="00090FD6"/>
    <w:rsid w:val="0009169E"/>
    <w:rsid w:val="00091988"/>
    <w:rsid w:val="000924E4"/>
    <w:rsid w:val="0009322D"/>
    <w:rsid w:val="000943E7"/>
    <w:rsid w:val="0009535A"/>
    <w:rsid w:val="000971DF"/>
    <w:rsid w:val="000979D5"/>
    <w:rsid w:val="000A2970"/>
    <w:rsid w:val="000A3507"/>
    <w:rsid w:val="000A4E64"/>
    <w:rsid w:val="000A5358"/>
    <w:rsid w:val="000A79DA"/>
    <w:rsid w:val="000B18B9"/>
    <w:rsid w:val="000B2139"/>
    <w:rsid w:val="000B2675"/>
    <w:rsid w:val="000B3C0E"/>
    <w:rsid w:val="000B3C7F"/>
    <w:rsid w:val="000B4232"/>
    <w:rsid w:val="000B43DF"/>
    <w:rsid w:val="000B5959"/>
    <w:rsid w:val="000B695A"/>
    <w:rsid w:val="000B6F09"/>
    <w:rsid w:val="000B76E8"/>
    <w:rsid w:val="000B7F1A"/>
    <w:rsid w:val="000C03F6"/>
    <w:rsid w:val="000C14D0"/>
    <w:rsid w:val="000C2403"/>
    <w:rsid w:val="000C2723"/>
    <w:rsid w:val="000C28B4"/>
    <w:rsid w:val="000C3108"/>
    <w:rsid w:val="000C353D"/>
    <w:rsid w:val="000C38E3"/>
    <w:rsid w:val="000C49D9"/>
    <w:rsid w:val="000C4CE4"/>
    <w:rsid w:val="000C64AC"/>
    <w:rsid w:val="000C6831"/>
    <w:rsid w:val="000C6860"/>
    <w:rsid w:val="000C6B45"/>
    <w:rsid w:val="000C704F"/>
    <w:rsid w:val="000C74B6"/>
    <w:rsid w:val="000C7C4C"/>
    <w:rsid w:val="000D0F6E"/>
    <w:rsid w:val="000D133D"/>
    <w:rsid w:val="000D27FF"/>
    <w:rsid w:val="000D3B63"/>
    <w:rsid w:val="000D4143"/>
    <w:rsid w:val="000D459D"/>
    <w:rsid w:val="000D4621"/>
    <w:rsid w:val="000D561B"/>
    <w:rsid w:val="000D6128"/>
    <w:rsid w:val="000D68D5"/>
    <w:rsid w:val="000E2F13"/>
    <w:rsid w:val="000E3574"/>
    <w:rsid w:val="000E3988"/>
    <w:rsid w:val="000E4467"/>
    <w:rsid w:val="000E513C"/>
    <w:rsid w:val="000E65B4"/>
    <w:rsid w:val="000E6DB9"/>
    <w:rsid w:val="000E6FB8"/>
    <w:rsid w:val="000E7954"/>
    <w:rsid w:val="000E79D5"/>
    <w:rsid w:val="000E7BA2"/>
    <w:rsid w:val="000F093E"/>
    <w:rsid w:val="000F0976"/>
    <w:rsid w:val="000F16B5"/>
    <w:rsid w:val="000F2797"/>
    <w:rsid w:val="000F282A"/>
    <w:rsid w:val="000F360A"/>
    <w:rsid w:val="000F3A1A"/>
    <w:rsid w:val="000F60EC"/>
    <w:rsid w:val="000F61DC"/>
    <w:rsid w:val="000F6271"/>
    <w:rsid w:val="000F661A"/>
    <w:rsid w:val="000F68D9"/>
    <w:rsid w:val="000F6B13"/>
    <w:rsid w:val="000F745A"/>
    <w:rsid w:val="00100B79"/>
    <w:rsid w:val="00103424"/>
    <w:rsid w:val="00103E41"/>
    <w:rsid w:val="00103FE2"/>
    <w:rsid w:val="00106A86"/>
    <w:rsid w:val="00106E39"/>
    <w:rsid w:val="00106EDA"/>
    <w:rsid w:val="001071B8"/>
    <w:rsid w:val="0011096E"/>
    <w:rsid w:val="001110AA"/>
    <w:rsid w:val="001126EA"/>
    <w:rsid w:val="001127D9"/>
    <w:rsid w:val="0011432D"/>
    <w:rsid w:val="00114399"/>
    <w:rsid w:val="0011476A"/>
    <w:rsid w:val="0012092B"/>
    <w:rsid w:val="00120CD6"/>
    <w:rsid w:val="00121E11"/>
    <w:rsid w:val="00122A05"/>
    <w:rsid w:val="00123282"/>
    <w:rsid w:val="001234C4"/>
    <w:rsid w:val="00123577"/>
    <w:rsid w:val="00124470"/>
    <w:rsid w:val="001246C5"/>
    <w:rsid w:val="00126178"/>
    <w:rsid w:val="00126A3E"/>
    <w:rsid w:val="00126AD5"/>
    <w:rsid w:val="001275E5"/>
    <w:rsid w:val="001304BC"/>
    <w:rsid w:val="00130C58"/>
    <w:rsid w:val="001348EB"/>
    <w:rsid w:val="00135A2B"/>
    <w:rsid w:val="00136342"/>
    <w:rsid w:val="00136D90"/>
    <w:rsid w:val="00137748"/>
    <w:rsid w:val="0014043A"/>
    <w:rsid w:val="0014059B"/>
    <w:rsid w:val="00140897"/>
    <w:rsid w:val="001412B6"/>
    <w:rsid w:val="001415DB"/>
    <w:rsid w:val="001417FE"/>
    <w:rsid w:val="00141EC2"/>
    <w:rsid w:val="0014359A"/>
    <w:rsid w:val="00143B84"/>
    <w:rsid w:val="001448C4"/>
    <w:rsid w:val="00144BEE"/>
    <w:rsid w:val="001450E6"/>
    <w:rsid w:val="0014582F"/>
    <w:rsid w:val="0014701A"/>
    <w:rsid w:val="00147995"/>
    <w:rsid w:val="00147CFE"/>
    <w:rsid w:val="00147E23"/>
    <w:rsid w:val="001506A4"/>
    <w:rsid w:val="00150CA7"/>
    <w:rsid w:val="001520EA"/>
    <w:rsid w:val="00153BC3"/>
    <w:rsid w:val="0015479E"/>
    <w:rsid w:val="00155174"/>
    <w:rsid w:val="00155374"/>
    <w:rsid w:val="00155BC0"/>
    <w:rsid w:val="0015609D"/>
    <w:rsid w:val="00157A5C"/>
    <w:rsid w:val="00157CCD"/>
    <w:rsid w:val="00157D10"/>
    <w:rsid w:val="001600A3"/>
    <w:rsid w:val="001610F6"/>
    <w:rsid w:val="001612C9"/>
    <w:rsid w:val="00161A55"/>
    <w:rsid w:val="001627E4"/>
    <w:rsid w:val="00162A14"/>
    <w:rsid w:val="00162B1D"/>
    <w:rsid w:val="001635B0"/>
    <w:rsid w:val="001636AC"/>
    <w:rsid w:val="00163EAB"/>
    <w:rsid w:val="00164809"/>
    <w:rsid w:val="001648EA"/>
    <w:rsid w:val="00165D2F"/>
    <w:rsid w:val="00167C7B"/>
    <w:rsid w:val="00167E3B"/>
    <w:rsid w:val="00170F8E"/>
    <w:rsid w:val="00171416"/>
    <w:rsid w:val="001714EB"/>
    <w:rsid w:val="00172A27"/>
    <w:rsid w:val="00173DE4"/>
    <w:rsid w:val="001757FE"/>
    <w:rsid w:val="00175AC9"/>
    <w:rsid w:val="00176494"/>
    <w:rsid w:val="00176EA6"/>
    <w:rsid w:val="00176F9F"/>
    <w:rsid w:val="00177DB6"/>
    <w:rsid w:val="00180BA5"/>
    <w:rsid w:val="0018135A"/>
    <w:rsid w:val="0018434F"/>
    <w:rsid w:val="00184859"/>
    <w:rsid w:val="001854FF"/>
    <w:rsid w:val="00186B08"/>
    <w:rsid w:val="001876E0"/>
    <w:rsid w:val="0018776A"/>
    <w:rsid w:val="00187D44"/>
    <w:rsid w:val="00187EA9"/>
    <w:rsid w:val="001908FB"/>
    <w:rsid w:val="00191101"/>
    <w:rsid w:val="00192027"/>
    <w:rsid w:val="001920D0"/>
    <w:rsid w:val="00192404"/>
    <w:rsid w:val="00192D31"/>
    <w:rsid w:val="00192F1A"/>
    <w:rsid w:val="00192F8C"/>
    <w:rsid w:val="00193125"/>
    <w:rsid w:val="00193775"/>
    <w:rsid w:val="00193F50"/>
    <w:rsid w:val="001941A7"/>
    <w:rsid w:val="0019530A"/>
    <w:rsid w:val="00195849"/>
    <w:rsid w:val="00196268"/>
    <w:rsid w:val="001973E1"/>
    <w:rsid w:val="00197524"/>
    <w:rsid w:val="001A0E76"/>
    <w:rsid w:val="001A13AD"/>
    <w:rsid w:val="001A219A"/>
    <w:rsid w:val="001A255C"/>
    <w:rsid w:val="001A36DD"/>
    <w:rsid w:val="001A4FE7"/>
    <w:rsid w:val="001A5098"/>
    <w:rsid w:val="001A58A3"/>
    <w:rsid w:val="001A6675"/>
    <w:rsid w:val="001A6853"/>
    <w:rsid w:val="001B0340"/>
    <w:rsid w:val="001B2B8E"/>
    <w:rsid w:val="001B304A"/>
    <w:rsid w:val="001B31BB"/>
    <w:rsid w:val="001B522E"/>
    <w:rsid w:val="001B5710"/>
    <w:rsid w:val="001B5906"/>
    <w:rsid w:val="001B6B05"/>
    <w:rsid w:val="001B6BD1"/>
    <w:rsid w:val="001B792A"/>
    <w:rsid w:val="001C02FA"/>
    <w:rsid w:val="001C2447"/>
    <w:rsid w:val="001C31CF"/>
    <w:rsid w:val="001C570B"/>
    <w:rsid w:val="001C7F98"/>
    <w:rsid w:val="001D072A"/>
    <w:rsid w:val="001D1EB8"/>
    <w:rsid w:val="001D2851"/>
    <w:rsid w:val="001D3605"/>
    <w:rsid w:val="001D38C4"/>
    <w:rsid w:val="001D3E64"/>
    <w:rsid w:val="001D4ECB"/>
    <w:rsid w:val="001D568A"/>
    <w:rsid w:val="001D58CA"/>
    <w:rsid w:val="001D5A33"/>
    <w:rsid w:val="001D77D9"/>
    <w:rsid w:val="001D7BEC"/>
    <w:rsid w:val="001E00D7"/>
    <w:rsid w:val="001E07D8"/>
    <w:rsid w:val="001E0E53"/>
    <w:rsid w:val="001E0FCF"/>
    <w:rsid w:val="001E0FEE"/>
    <w:rsid w:val="001E1FE2"/>
    <w:rsid w:val="001E26E1"/>
    <w:rsid w:val="001E3220"/>
    <w:rsid w:val="001E340F"/>
    <w:rsid w:val="001E34D7"/>
    <w:rsid w:val="001E4012"/>
    <w:rsid w:val="001E55BB"/>
    <w:rsid w:val="001E7C24"/>
    <w:rsid w:val="001F111F"/>
    <w:rsid w:val="001F192C"/>
    <w:rsid w:val="001F211F"/>
    <w:rsid w:val="001F22AB"/>
    <w:rsid w:val="001F497A"/>
    <w:rsid w:val="001F4A28"/>
    <w:rsid w:val="001F56F2"/>
    <w:rsid w:val="001F65BE"/>
    <w:rsid w:val="001F662A"/>
    <w:rsid w:val="001F6C77"/>
    <w:rsid w:val="001F7884"/>
    <w:rsid w:val="0020013C"/>
    <w:rsid w:val="00202122"/>
    <w:rsid w:val="00202562"/>
    <w:rsid w:val="0020371A"/>
    <w:rsid w:val="0020406C"/>
    <w:rsid w:val="00205BEA"/>
    <w:rsid w:val="002060F5"/>
    <w:rsid w:val="00210F2C"/>
    <w:rsid w:val="00211EBE"/>
    <w:rsid w:val="00212020"/>
    <w:rsid w:val="002125B0"/>
    <w:rsid w:val="0021442D"/>
    <w:rsid w:val="002145F4"/>
    <w:rsid w:val="002145FA"/>
    <w:rsid w:val="00214B5E"/>
    <w:rsid w:val="00216939"/>
    <w:rsid w:val="002169E8"/>
    <w:rsid w:val="00217FB5"/>
    <w:rsid w:val="002202B2"/>
    <w:rsid w:val="002206E4"/>
    <w:rsid w:val="002207EF"/>
    <w:rsid w:val="00222051"/>
    <w:rsid w:val="00222184"/>
    <w:rsid w:val="00223487"/>
    <w:rsid w:val="0022388E"/>
    <w:rsid w:val="00223E5E"/>
    <w:rsid w:val="00224F15"/>
    <w:rsid w:val="00226025"/>
    <w:rsid w:val="00227916"/>
    <w:rsid w:val="00230023"/>
    <w:rsid w:val="00230A35"/>
    <w:rsid w:val="00230E5C"/>
    <w:rsid w:val="002317EA"/>
    <w:rsid w:val="00231E01"/>
    <w:rsid w:val="00232179"/>
    <w:rsid w:val="00233505"/>
    <w:rsid w:val="0023394F"/>
    <w:rsid w:val="00233AC0"/>
    <w:rsid w:val="0023436B"/>
    <w:rsid w:val="00235299"/>
    <w:rsid w:val="00235B49"/>
    <w:rsid w:val="00236269"/>
    <w:rsid w:val="00236C63"/>
    <w:rsid w:val="002400D9"/>
    <w:rsid w:val="002406F5"/>
    <w:rsid w:val="002408EE"/>
    <w:rsid w:val="00240B36"/>
    <w:rsid w:val="00240F58"/>
    <w:rsid w:val="002420EC"/>
    <w:rsid w:val="00242FAA"/>
    <w:rsid w:val="00243016"/>
    <w:rsid w:val="00243B08"/>
    <w:rsid w:val="00244A80"/>
    <w:rsid w:val="00245B0D"/>
    <w:rsid w:val="0024614C"/>
    <w:rsid w:val="002467C5"/>
    <w:rsid w:val="0024796F"/>
    <w:rsid w:val="00247EB0"/>
    <w:rsid w:val="00251371"/>
    <w:rsid w:val="00251E2C"/>
    <w:rsid w:val="00252F56"/>
    <w:rsid w:val="00253D8C"/>
    <w:rsid w:val="00253DFF"/>
    <w:rsid w:val="00254211"/>
    <w:rsid w:val="00254BC7"/>
    <w:rsid w:val="002550BD"/>
    <w:rsid w:val="00256041"/>
    <w:rsid w:val="00256152"/>
    <w:rsid w:val="00256D76"/>
    <w:rsid w:val="002571CB"/>
    <w:rsid w:val="00261DDB"/>
    <w:rsid w:val="00261F19"/>
    <w:rsid w:val="00262526"/>
    <w:rsid w:val="002632D0"/>
    <w:rsid w:val="00264C20"/>
    <w:rsid w:val="00264C35"/>
    <w:rsid w:val="00264DE1"/>
    <w:rsid w:val="00264ECE"/>
    <w:rsid w:val="00266087"/>
    <w:rsid w:val="002669E9"/>
    <w:rsid w:val="00266CFB"/>
    <w:rsid w:val="00266F17"/>
    <w:rsid w:val="002674C8"/>
    <w:rsid w:val="00270123"/>
    <w:rsid w:val="00271503"/>
    <w:rsid w:val="00273B7D"/>
    <w:rsid w:val="002742F3"/>
    <w:rsid w:val="0027489B"/>
    <w:rsid w:val="0027491A"/>
    <w:rsid w:val="0027494C"/>
    <w:rsid w:val="00275449"/>
    <w:rsid w:val="002761C3"/>
    <w:rsid w:val="00276E34"/>
    <w:rsid w:val="00280260"/>
    <w:rsid w:val="00281719"/>
    <w:rsid w:val="00283964"/>
    <w:rsid w:val="00284318"/>
    <w:rsid w:val="00285B4E"/>
    <w:rsid w:val="0028620D"/>
    <w:rsid w:val="00286539"/>
    <w:rsid w:val="00287AB6"/>
    <w:rsid w:val="002907EB"/>
    <w:rsid w:val="00291F24"/>
    <w:rsid w:val="00291FE2"/>
    <w:rsid w:val="00292659"/>
    <w:rsid w:val="00294C04"/>
    <w:rsid w:val="002958C7"/>
    <w:rsid w:val="00296686"/>
    <w:rsid w:val="00296B8C"/>
    <w:rsid w:val="00296C0D"/>
    <w:rsid w:val="00296C1A"/>
    <w:rsid w:val="00297543"/>
    <w:rsid w:val="002A02A2"/>
    <w:rsid w:val="002A175C"/>
    <w:rsid w:val="002A3090"/>
    <w:rsid w:val="002A39E5"/>
    <w:rsid w:val="002A3C3C"/>
    <w:rsid w:val="002A460A"/>
    <w:rsid w:val="002A49D0"/>
    <w:rsid w:val="002A6694"/>
    <w:rsid w:val="002B119F"/>
    <w:rsid w:val="002C0273"/>
    <w:rsid w:val="002C0B14"/>
    <w:rsid w:val="002C0C09"/>
    <w:rsid w:val="002C25BA"/>
    <w:rsid w:val="002C2A4E"/>
    <w:rsid w:val="002C3CD5"/>
    <w:rsid w:val="002C5924"/>
    <w:rsid w:val="002C5F7D"/>
    <w:rsid w:val="002C6E96"/>
    <w:rsid w:val="002C715F"/>
    <w:rsid w:val="002C72FE"/>
    <w:rsid w:val="002C779E"/>
    <w:rsid w:val="002C7E70"/>
    <w:rsid w:val="002D045D"/>
    <w:rsid w:val="002D0738"/>
    <w:rsid w:val="002D0FB4"/>
    <w:rsid w:val="002D28D7"/>
    <w:rsid w:val="002D53C5"/>
    <w:rsid w:val="002D53EC"/>
    <w:rsid w:val="002D5DB1"/>
    <w:rsid w:val="002D7AEA"/>
    <w:rsid w:val="002E000B"/>
    <w:rsid w:val="002E0A98"/>
    <w:rsid w:val="002E2E4B"/>
    <w:rsid w:val="002E3DC5"/>
    <w:rsid w:val="002E4603"/>
    <w:rsid w:val="002E4CCE"/>
    <w:rsid w:val="002E5054"/>
    <w:rsid w:val="002E6287"/>
    <w:rsid w:val="002E6B1E"/>
    <w:rsid w:val="002E6F46"/>
    <w:rsid w:val="002E6FD1"/>
    <w:rsid w:val="002F2840"/>
    <w:rsid w:val="002F2D1D"/>
    <w:rsid w:val="002F37C8"/>
    <w:rsid w:val="002F4C0F"/>
    <w:rsid w:val="002F543F"/>
    <w:rsid w:val="002F6300"/>
    <w:rsid w:val="002F71F8"/>
    <w:rsid w:val="002F7AEA"/>
    <w:rsid w:val="00300078"/>
    <w:rsid w:val="00300286"/>
    <w:rsid w:val="0030114B"/>
    <w:rsid w:val="0030259C"/>
    <w:rsid w:val="00302BE4"/>
    <w:rsid w:val="00302D38"/>
    <w:rsid w:val="00302F51"/>
    <w:rsid w:val="00303A40"/>
    <w:rsid w:val="003040FB"/>
    <w:rsid w:val="00304FE2"/>
    <w:rsid w:val="00307B1F"/>
    <w:rsid w:val="00310487"/>
    <w:rsid w:val="00310C9C"/>
    <w:rsid w:val="00310CD4"/>
    <w:rsid w:val="0031196D"/>
    <w:rsid w:val="00311A3D"/>
    <w:rsid w:val="00311BD6"/>
    <w:rsid w:val="00311F28"/>
    <w:rsid w:val="00313011"/>
    <w:rsid w:val="003131E6"/>
    <w:rsid w:val="00313598"/>
    <w:rsid w:val="00313F72"/>
    <w:rsid w:val="003161B2"/>
    <w:rsid w:val="00320FB7"/>
    <w:rsid w:val="003218DC"/>
    <w:rsid w:val="00321C37"/>
    <w:rsid w:val="00321D58"/>
    <w:rsid w:val="00322569"/>
    <w:rsid w:val="0032308F"/>
    <w:rsid w:val="00323E72"/>
    <w:rsid w:val="0032460B"/>
    <w:rsid w:val="003251CA"/>
    <w:rsid w:val="00325BC0"/>
    <w:rsid w:val="00327376"/>
    <w:rsid w:val="00327A94"/>
    <w:rsid w:val="003310AC"/>
    <w:rsid w:val="00333629"/>
    <w:rsid w:val="00333A8D"/>
    <w:rsid w:val="00334C79"/>
    <w:rsid w:val="003353F5"/>
    <w:rsid w:val="00335649"/>
    <w:rsid w:val="00336E86"/>
    <w:rsid w:val="00337555"/>
    <w:rsid w:val="00337958"/>
    <w:rsid w:val="003401C3"/>
    <w:rsid w:val="00340EC4"/>
    <w:rsid w:val="00344BE9"/>
    <w:rsid w:val="00345FBE"/>
    <w:rsid w:val="00347111"/>
    <w:rsid w:val="00350F25"/>
    <w:rsid w:val="00351246"/>
    <w:rsid w:val="00351DCC"/>
    <w:rsid w:val="00352334"/>
    <w:rsid w:val="003531B4"/>
    <w:rsid w:val="00353A03"/>
    <w:rsid w:val="003549DE"/>
    <w:rsid w:val="003552B5"/>
    <w:rsid w:val="00355DA6"/>
    <w:rsid w:val="00356231"/>
    <w:rsid w:val="0035639C"/>
    <w:rsid w:val="00357814"/>
    <w:rsid w:val="00357D4A"/>
    <w:rsid w:val="003601CA"/>
    <w:rsid w:val="00360696"/>
    <w:rsid w:val="003608B7"/>
    <w:rsid w:val="0036184D"/>
    <w:rsid w:val="0036376D"/>
    <w:rsid w:val="00363AB4"/>
    <w:rsid w:val="00364672"/>
    <w:rsid w:val="0036493C"/>
    <w:rsid w:val="003649D3"/>
    <w:rsid w:val="0036507D"/>
    <w:rsid w:val="00365F8C"/>
    <w:rsid w:val="00366118"/>
    <w:rsid w:val="00367390"/>
    <w:rsid w:val="003678CA"/>
    <w:rsid w:val="0037117E"/>
    <w:rsid w:val="00371847"/>
    <w:rsid w:val="00371EDB"/>
    <w:rsid w:val="0037314D"/>
    <w:rsid w:val="00375E00"/>
    <w:rsid w:val="00375FA7"/>
    <w:rsid w:val="0037608A"/>
    <w:rsid w:val="00377716"/>
    <w:rsid w:val="00377BEC"/>
    <w:rsid w:val="0038007C"/>
    <w:rsid w:val="003807DE"/>
    <w:rsid w:val="00380A84"/>
    <w:rsid w:val="00380D48"/>
    <w:rsid w:val="00381525"/>
    <w:rsid w:val="00381843"/>
    <w:rsid w:val="00383B80"/>
    <w:rsid w:val="0038493C"/>
    <w:rsid w:val="00387C5B"/>
    <w:rsid w:val="00387DD3"/>
    <w:rsid w:val="003931EB"/>
    <w:rsid w:val="0039330B"/>
    <w:rsid w:val="0039610B"/>
    <w:rsid w:val="0039627F"/>
    <w:rsid w:val="00396AAE"/>
    <w:rsid w:val="003A1AAB"/>
    <w:rsid w:val="003A1B10"/>
    <w:rsid w:val="003A1FE0"/>
    <w:rsid w:val="003A5076"/>
    <w:rsid w:val="003A53E3"/>
    <w:rsid w:val="003A5935"/>
    <w:rsid w:val="003A6A9C"/>
    <w:rsid w:val="003A6F98"/>
    <w:rsid w:val="003A780D"/>
    <w:rsid w:val="003B02D5"/>
    <w:rsid w:val="003B237C"/>
    <w:rsid w:val="003B2C3A"/>
    <w:rsid w:val="003B4A97"/>
    <w:rsid w:val="003B4BAB"/>
    <w:rsid w:val="003B4FAD"/>
    <w:rsid w:val="003B68F5"/>
    <w:rsid w:val="003B7543"/>
    <w:rsid w:val="003B76FA"/>
    <w:rsid w:val="003B7ABE"/>
    <w:rsid w:val="003C1438"/>
    <w:rsid w:val="003C231F"/>
    <w:rsid w:val="003C256C"/>
    <w:rsid w:val="003C2B29"/>
    <w:rsid w:val="003C348A"/>
    <w:rsid w:val="003C379B"/>
    <w:rsid w:val="003C4AA3"/>
    <w:rsid w:val="003C4E0F"/>
    <w:rsid w:val="003C59CF"/>
    <w:rsid w:val="003C7474"/>
    <w:rsid w:val="003C7701"/>
    <w:rsid w:val="003D017B"/>
    <w:rsid w:val="003D021E"/>
    <w:rsid w:val="003D10FE"/>
    <w:rsid w:val="003D3167"/>
    <w:rsid w:val="003D466F"/>
    <w:rsid w:val="003D54EC"/>
    <w:rsid w:val="003D5916"/>
    <w:rsid w:val="003D7C40"/>
    <w:rsid w:val="003D7D71"/>
    <w:rsid w:val="003E15DE"/>
    <w:rsid w:val="003E2907"/>
    <w:rsid w:val="003E3BDB"/>
    <w:rsid w:val="003E3E45"/>
    <w:rsid w:val="003E4573"/>
    <w:rsid w:val="003E5601"/>
    <w:rsid w:val="003E67A7"/>
    <w:rsid w:val="003E6DE3"/>
    <w:rsid w:val="003E7862"/>
    <w:rsid w:val="003F04E2"/>
    <w:rsid w:val="003F0AFD"/>
    <w:rsid w:val="003F0FAC"/>
    <w:rsid w:val="003F2183"/>
    <w:rsid w:val="003F2476"/>
    <w:rsid w:val="003F2533"/>
    <w:rsid w:val="003F4A45"/>
    <w:rsid w:val="003F4F44"/>
    <w:rsid w:val="003F5F59"/>
    <w:rsid w:val="003F60FB"/>
    <w:rsid w:val="003F6443"/>
    <w:rsid w:val="004014CB"/>
    <w:rsid w:val="00402053"/>
    <w:rsid w:val="0040289F"/>
    <w:rsid w:val="00402BF9"/>
    <w:rsid w:val="00404040"/>
    <w:rsid w:val="00404320"/>
    <w:rsid w:val="004059DD"/>
    <w:rsid w:val="00406F14"/>
    <w:rsid w:val="00407DC8"/>
    <w:rsid w:val="00410949"/>
    <w:rsid w:val="00410C9D"/>
    <w:rsid w:val="00414504"/>
    <w:rsid w:val="00415F36"/>
    <w:rsid w:val="0042047F"/>
    <w:rsid w:val="00420B96"/>
    <w:rsid w:val="004211DA"/>
    <w:rsid w:val="004214EC"/>
    <w:rsid w:val="004216AA"/>
    <w:rsid w:val="00421CF2"/>
    <w:rsid w:val="0042298D"/>
    <w:rsid w:val="00423134"/>
    <w:rsid w:val="00423215"/>
    <w:rsid w:val="00426B93"/>
    <w:rsid w:val="00427192"/>
    <w:rsid w:val="0043017D"/>
    <w:rsid w:val="004307B0"/>
    <w:rsid w:val="00430BA6"/>
    <w:rsid w:val="00430C67"/>
    <w:rsid w:val="0043230B"/>
    <w:rsid w:val="0043318B"/>
    <w:rsid w:val="00434C2D"/>
    <w:rsid w:val="00435232"/>
    <w:rsid w:val="00435788"/>
    <w:rsid w:val="004371C4"/>
    <w:rsid w:val="004372E3"/>
    <w:rsid w:val="004403D0"/>
    <w:rsid w:val="004409B7"/>
    <w:rsid w:val="00441900"/>
    <w:rsid w:val="00441A0D"/>
    <w:rsid w:val="004430D0"/>
    <w:rsid w:val="0044351B"/>
    <w:rsid w:val="004438D0"/>
    <w:rsid w:val="004440F7"/>
    <w:rsid w:val="00444931"/>
    <w:rsid w:val="0044557C"/>
    <w:rsid w:val="00445A96"/>
    <w:rsid w:val="0044683B"/>
    <w:rsid w:val="00447834"/>
    <w:rsid w:val="00450098"/>
    <w:rsid w:val="00450894"/>
    <w:rsid w:val="00451199"/>
    <w:rsid w:val="0045157C"/>
    <w:rsid w:val="004515D1"/>
    <w:rsid w:val="0045197C"/>
    <w:rsid w:val="00451CC5"/>
    <w:rsid w:val="00453D8D"/>
    <w:rsid w:val="0045527B"/>
    <w:rsid w:val="00456F0F"/>
    <w:rsid w:val="0045705E"/>
    <w:rsid w:val="00457928"/>
    <w:rsid w:val="004600EA"/>
    <w:rsid w:val="00460964"/>
    <w:rsid w:val="00460FC3"/>
    <w:rsid w:val="00461675"/>
    <w:rsid w:val="0046240C"/>
    <w:rsid w:val="00462654"/>
    <w:rsid w:val="004626C5"/>
    <w:rsid w:val="00462881"/>
    <w:rsid w:val="00463850"/>
    <w:rsid w:val="00463A2B"/>
    <w:rsid w:val="00464E35"/>
    <w:rsid w:val="00465AE0"/>
    <w:rsid w:val="004664B8"/>
    <w:rsid w:val="00470576"/>
    <w:rsid w:val="004713A5"/>
    <w:rsid w:val="00471B90"/>
    <w:rsid w:val="004762DD"/>
    <w:rsid w:val="00480B05"/>
    <w:rsid w:val="00480CA3"/>
    <w:rsid w:val="00480F56"/>
    <w:rsid w:val="004821B9"/>
    <w:rsid w:val="0048362A"/>
    <w:rsid w:val="00483929"/>
    <w:rsid w:val="00483C71"/>
    <w:rsid w:val="00485629"/>
    <w:rsid w:val="004860D6"/>
    <w:rsid w:val="0048688D"/>
    <w:rsid w:val="00486DD4"/>
    <w:rsid w:val="00486EA7"/>
    <w:rsid w:val="00490239"/>
    <w:rsid w:val="00490301"/>
    <w:rsid w:val="0049034C"/>
    <w:rsid w:val="0049269D"/>
    <w:rsid w:val="00493662"/>
    <w:rsid w:val="00493D21"/>
    <w:rsid w:val="00495044"/>
    <w:rsid w:val="00495AA0"/>
    <w:rsid w:val="00496DE0"/>
    <w:rsid w:val="004A0689"/>
    <w:rsid w:val="004A0DEB"/>
    <w:rsid w:val="004A16AA"/>
    <w:rsid w:val="004A1758"/>
    <w:rsid w:val="004A2AF3"/>
    <w:rsid w:val="004A2D35"/>
    <w:rsid w:val="004A2E3E"/>
    <w:rsid w:val="004A4310"/>
    <w:rsid w:val="004A5EC4"/>
    <w:rsid w:val="004A607D"/>
    <w:rsid w:val="004A6516"/>
    <w:rsid w:val="004A7B3E"/>
    <w:rsid w:val="004A7CBC"/>
    <w:rsid w:val="004B0A89"/>
    <w:rsid w:val="004B27BB"/>
    <w:rsid w:val="004B28E8"/>
    <w:rsid w:val="004B322A"/>
    <w:rsid w:val="004B38F8"/>
    <w:rsid w:val="004B4729"/>
    <w:rsid w:val="004B5AF9"/>
    <w:rsid w:val="004B5E52"/>
    <w:rsid w:val="004B6AF2"/>
    <w:rsid w:val="004B6C25"/>
    <w:rsid w:val="004B7C7A"/>
    <w:rsid w:val="004C0F81"/>
    <w:rsid w:val="004C2112"/>
    <w:rsid w:val="004C2122"/>
    <w:rsid w:val="004C36E3"/>
    <w:rsid w:val="004C3A27"/>
    <w:rsid w:val="004C41EA"/>
    <w:rsid w:val="004C5D43"/>
    <w:rsid w:val="004D1B98"/>
    <w:rsid w:val="004D448B"/>
    <w:rsid w:val="004D4C27"/>
    <w:rsid w:val="004D50D7"/>
    <w:rsid w:val="004D5677"/>
    <w:rsid w:val="004D572E"/>
    <w:rsid w:val="004D5BA6"/>
    <w:rsid w:val="004D6CCB"/>
    <w:rsid w:val="004D70DF"/>
    <w:rsid w:val="004E0513"/>
    <w:rsid w:val="004E1E53"/>
    <w:rsid w:val="004E29A2"/>
    <w:rsid w:val="004E2DD6"/>
    <w:rsid w:val="004E30CB"/>
    <w:rsid w:val="004E4472"/>
    <w:rsid w:val="004E5741"/>
    <w:rsid w:val="004E6E1C"/>
    <w:rsid w:val="004E6F7C"/>
    <w:rsid w:val="004F02D2"/>
    <w:rsid w:val="004F0607"/>
    <w:rsid w:val="004F0795"/>
    <w:rsid w:val="004F10DF"/>
    <w:rsid w:val="004F14AD"/>
    <w:rsid w:val="004F396B"/>
    <w:rsid w:val="004F5251"/>
    <w:rsid w:val="004F703F"/>
    <w:rsid w:val="004F70F3"/>
    <w:rsid w:val="004F7E16"/>
    <w:rsid w:val="004F7ED8"/>
    <w:rsid w:val="00500019"/>
    <w:rsid w:val="00501FAD"/>
    <w:rsid w:val="0050303C"/>
    <w:rsid w:val="005030FC"/>
    <w:rsid w:val="00504DAF"/>
    <w:rsid w:val="0050632E"/>
    <w:rsid w:val="00506572"/>
    <w:rsid w:val="00506AA2"/>
    <w:rsid w:val="00506DCF"/>
    <w:rsid w:val="005105DA"/>
    <w:rsid w:val="00510A4B"/>
    <w:rsid w:val="00510E50"/>
    <w:rsid w:val="005120C9"/>
    <w:rsid w:val="0051238F"/>
    <w:rsid w:val="00512517"/>
    <w:rsid w:val="00514A50"/>
    <w:rsid w:val="005150F5"/>
    <w:rsid w:val="00515985"/>
    <w:rsid w:val="00515D44"/>
    <w:rsid w:val="00516854"/>
    <w:rsid w:val="00517861"/>
    <w:rsid w:val="00520920"/>
    <w:rsid w:val="005214EA"/>
    <w:rsid w:val="0052215D"/>
    <w:rsid w:val="00522EAE"/>
    <w:rsid w:val="005233E2"/>
    <w:rsid w:val="0052421F"/>
    <w:rsid w:val="0052446D"/>
    <w:rsid w:val="00526814"/>
    <w:rsid w:val="00530CB5"/>
    <w:rsid w:val="00532CD9"/>
    <w:rsid w:val="00532F99"/>
    <w:rsid w:val="005330E9"/>
    <w:rsid w:val="00533B71"/>
    <w:rsid w:val="00533EC8"/>
    <w:rsid w:val="00535C7F"/>
    <w:rsid w:val="00536952"/>
    <w:rsid w:val="00536BC5"/>
    <w:rsid w:val="00537CD9"/>
    <w:rsid w:val="00541642"/>
    <w:rsid w:val="005416D4"/>
    <w:rsid w:val="00542F02"/>
    <w:rsid w:val="00543BE8"/>
    <w:rsid w:val="00543C17"/>
    <w:rsid w:val="005443BE"/>
    <w:rsid w:val="00544425"/>
    <w:rsid w:val="00545C95"/>
    <w:rsid w:val="00547E39"/>
    <w:rsid w:val="0055099A"/>
    <w:rsid w:val="00550CBD"/>
    <w:rsid w:val="005518F3"/>
    <w:rsid w:val="00551A69"/>
    <w:rsid w:val="00551C27"/>
    <w:rsid w:val="00552E4B"/>
    <w:rsid w:val="00552F23"/>
    <w:rsid w:val="00553886"/>
    <w:rsid w:val="00553DF6"/>
    <w:rsid w:val="00554093"/>
    <w:rsid w:val="005545BF"/>
    <w:rsid w:val="00555247"/>
    <w:rsid w:val="00555803"/>
    <w:rsid w:val="00556E05"/>
    <w:rsid w:val="005576A2"/>
    <w:rsid w:val="00557A5D"/>
    <w:rsid w:val="0056108B"/>
    <w:rsid w:val="005629A7"/>
    <w:rsid w:val="00562C56"/>
    <w:rsid w:val="00563DAC"/>
    <w:rsid w:val="00563DCE"/>
    <w:rsid w:val="0056420C"/>
    <w:rsid w:val="00564306"/>
    <w:rsid w:val="005659E0"/>
    <w:rsid w:val="005664A5"/>
    <w:rsid w:val="00567C1A"/>
    <w:rsid w:val="0057089F"/>
    <w:rsid w:val="00571551"/>
    <w:rsid w:val="00572189"/>
    <w:rsid w:val="005730CF"/>
    <w:rsid w:val="005730D4"/>
    <w:rsid w:val="005742D0"/>
    <w:rsid w:val="00574625"/>
    <w:rsid w:val="00576272"/>
    <w:rsid w:val="00576FE2"/>
    <w:rsid w:val="00577830"/>
    <w:rsid w:val="0057790E"/>
    <w:rsid w:val="00577BE5"/>
    <w:rsid w:val="00577F96"/>
    <w:rsid w:val="00580E2F"/>
    <w:rsid w:val="00581137"/>
    <w:rsid w:val="00582EE3"/>
    <w:rsid w:val="0058325A"/>
    <w:rsid w:val="00583622"/>
    <w:rsid w:val="005837D2"/>
    <w:rsid w:val="00583C10"/>
    <w:rsid w:val="00584355"/>
    <w:rsid w:val="005844E2"/>
    <w:rsid w:val="0058490A"/>
    <w:rsid w:val="00584FEA"/>
    <w:rsid w:val="00585C58"/>
    <w:rsid w:val="00587B26"/>
    <w:rsid w:val="005905D7"/>
    <w:rsid w:val="005918A3"/>
    <w:rsid w:val="00591B80"/>
    <w:rsid w:val="0059216E"/>
    <w:rsid w:val="0059258D"/>
    <w:rsid w:val="00593641"/>
    <w:rsid w:val="00594333"/>
    <w:rsid w:val="00594571"/>
    <w:rsid w:val="005966CA"/>
    <w:rsid w:val="005972D8"/>
    <w:rsid w:val="00597A1C"/>
    <w:rsid w:val="00597B2E"/>
    <w:rsid w:val="005A2A89"/>
    <w:rsid w:val="005A3376"/>
    <w:rsid w:val="005A3427"/>
    <w:rsid w:val="005A3692"/>
    <w:rsid w:val="005A3855"/>
    <w:rsid w:val="005A46DB"/>
    <w:rsid w:val="005A504F"/>
    <w:rsid w:val="005A58B3"/>
    <w:rsid w:val="005A6472"/>
    <w:rsid w:val="005A6843"/>
    <w:rsid w:val="005A767D"/>
    <w:rsid w:val="005B0F6C"/>
    <w:rsid w:val="005B1F34"/>
    <w:rsid w:val="005B4341"/>
    <w:rsid w:val="005B4CBF"/>
    <w:rsid w:val="005B5F6E"/>
    <w:rsid w:val="005C0177"/>
    <w:rsid w:val="005C054C"/>
    <w:rsid w:val="005C1633"/>
    <w:rsid w:val="005C2319"/>
    <w:rsid w:val="005C2C6C"/>
    <w:rsid w:val="005C2D5D"/>
    <w:rsid w:val="005C3B32"/>
    <w:rsid w:val="005C407F"/>
    <w:rsid w:val="005C4AB1"/>
    <w:rsid w:val="005C5F9D"/>
    <w:rsid w:val="005C6B47"/>
    <w:rsid w:val="005C7682"/>
    <w:rsid w:val="005D0F2A"/>
    <w:rsid w:val="005D11B7"/>
    <w:rsid w:val="005D2015"/>
    <w:rsid w:val="005D258C"/>
    <w:rsid w:val="005D2E10"/>
    <w:rsid w:val="005D36C1"/>
    <w:rsid w:val="005D3B44"/>
    <w:rsid w:val="005D4018"/>
    <w:rsid w:val="005D4F54"/>
    <w:rsid w:val="005D6E00"/>
    <w:rsid w:val="005D723E"/>
    <w:rsid w:val="005E154B"/>
    <w:rsid w:val="005E1948"/>
    <w:rsid w:val="005E1CDB"/>
    <w:rsid w:val="005E3849"/>
    <w:rsid w:val="005E3A20"/>
    <w:rsid w:val="005E4F3E"/>
    <w:rsid w:val="005E5080"/>
    <w:rsid w:val="005E5442"/>
    <w:rsid w:val="005E571D"/>
    <w:rsid w:val="005E5AC0"/>
    <w:rsid w:val="005F0083"/>
    <w:rsid w:val="005F012F"/>
    <w:rsid w:val="005F0907"/>
    <w:rsid w:val="005F0B9A"/>
    <w:rsid w:val="005F10F6"/>
    <w:rsid w:val="005F147D"/>
    <w:rsid w:val="005F1531"/>
    <w:rsid w:val="005F191B"/>
    <w:rsid w:val="005F1B32"/>
    <w:rsid w:val="005F2230"/>
    <w:rsid w:val="005F29B5"/>
    <w:rsid w:val="005F30F6"/>
    <w:rsid w:val="005F42A7"/>
    <w:rsid w:val="005F4443"/>
    <w:rsid w:val="005F4BA2"/>
    <w:rsid w:val="005F5106"/>
    <w:rsid w:val="005F5271"/>
    <w:rsid w:val="005F5360"/>
    <w:rsid w:val="005F5EA1"/>
    <w:rsid w:val="005F61F9"/>
    <w:rsid w:val="005F65C3"/>
    <w:rsid w:val="005F6766"/>
    <w:rsid w:val="006008B1"/>
    <w:rsid w:val="006021AB"/>
    <w:rsid w:val="00603196"/>
    <w:rsid w:val="00604214"/>
    <w:rsid w:val="006051A7"/>
    <w:rsid w:val="00605423"/>
    <w:rsid w:val="006058E0"/>
    <w:rsid w:val="00605B8C"/>
    <w:rsid w:val="00605C89"/>
    <w:rsid w:val="00606717"/>
    <w:rsid w:val="00610103"/>
    <w:rsid w:val="00610349"/>
    <w:rsid w:val="00610785"/>
    <w:rsid w:val="006141F8"/>
    <w:rsid w:val="00615610"/>
    <w:rsid w:val="00615D37"/>
    <w:rsid w:val="0061659F"/>
    <w:rsid w:val="00617BFD"/>
    <w:rsid w:val="0062017E"/>
    <w:rsid w:val="006214CC"/>
    <w:rsid w:val="00621D93"/>
    <w:rsid w:val="00621DF2"/>
    <w:rsid w:val="00623889"/>
    <w:rsid w:val="00623C25"/>
    <w:rsid w:val="00623D6F"/>
    <w:rsid w:val="0062403B"/>
    <w:rsid w:val="0062418E"/>
    <w:rsid w:val="006245C1"/>
    <w:rsid w:val="00624DA8"/>
    <w:rsid w:val="00625055"/>
    <w:rsid w:val="00625B30"/>
    <w:rsid w:val="006262BB"/>
    <w:rsid w:val="00626580"/>
    <w:rsid w:val="0062663A"/>
    <w:rsid w:val="00626910"/>
    <w:rsid w:val="0062694A"/>
    <w:rsid w:val="00626CF8"/>
    <w:rsid w:val="00630073"/>
    <w:rsid w:val="00632BEC"/>
    <w:rsid w:val="00632E2C"/>
    <w:rsid w:val="0063380F"/>
    <w:rsid w:val="0063413C"/>
    <w:rsid w:val="00634FB4"/>
    <w:rsid w:val="00635112"/>
    <w:rsid w:val="00635538"/>
    <w:rsid w:val="00635968"/>
    <w:rsid w:val="00636977"/>
    <w:rsid w:val="006375BB"/>
    <w:rsid w:val="0063791D"/>
    <w:rsid w:val="00637A5F"/>
    <w:rsid w:val="006409D5"/>
    <w:rsid w:val="00640C77"/>
    <w:rsid w:val="0064191D"/>
    <w:rsid w:val="006425BB"/>
    <w:rsid w:val="00642C71"/>
    <w:rsid w:val="00642EC2"/>
    <w:rsid w:val="00643EDC"/>
    <w:rsid w:val="00645692"/>
    <w:rsid w:val="00645B35"/>
    <w:rsid w:val="006464F4"/>
    <w:rsid w:val="006468B1"/>
    <w:rsid w:val="00647C64"/>
    <w:rsid w:val="00651EAA"/>
    <w:rsid w:val="006542AD"/>
    <w:rsid w:val="00654765"/>
    <w:rsid w:val="00654BD3"/>
    <w:rsid w:val="0065632E"/>
    <w:rsid w:val="00656812"/>
    <w:rsid w:val="00656C46"/>
    <w:rsid w:val="00657191"/>
    <w:rsid w:val="00657D08"/>
    <w:rsid w:val="00660317"/>
    <w:rsid w:val="00660E38"/>
    <w:rsid w:val="00661106"/>
    <w:rsid w:val="00661FF3"/>
    <w:rsid w:val="00662A54"/>
    <w:rsid w:val="006644E0"/>
    <w:rsid w:val="006658A8"/>
    <w:rsid w:val="0066629A"/>
    <w:rsid w:val="00667902"/>
    <w:rsid w:val="00667F63"/>
    <w:rsid w:val="00670114"/>
    <w:rsid w:val="00671C98"/>
    <w:rsid w:val="006730E7"/>
    <w:rsid w:val="00673652"/>
    <w:rsid w:val="00674221"/>
    <w:rsid w:val="006750CD"/>
    <w:rsid w:val="00675CDE"/>
    <w:rsid w:val="00676B32"/>
    <w:rsid w:val="00676BA9"/>
    <w:rsid w:val="0068029F"/>
    <w:rsid w:val="006807B6"/>
    <w:rsid w:val="006821BB"/>
    <w:rsid w:val="00682986"/>
    <w:rsid w:val="00683BE0"/>
    <w:rsid w:val="00684031"/>
    <w:rsid w:val="00684C72"/>
    <w:rsid w:val="00684CEB"/>
    <w:rsid w:val="0068516E"/>
    <w:rsid w:val="00685FB5"/>
    <w:rsid w:val="006870A6"/>
    <w:rsid w:val="0069016D"/>
    <w:rsid w:val="00690332"/>
    <w:rsid w:val="00691491"/>
    <w:rsid w:val="006918B4"/>
    <w:rsid w:val="00691A90"/>
    <w:rsid w:val="00691FF2"/>
    <w:rsid w:val="00693947"/>
    <w:rsid w:val="00693A70"/>
    <w:rsid w:val="00695520"/>
    <w:rsid w:val="006978F5"/>
    <w:rsid w:val="006A10B6"/>
    <w:rsid w:val="006A14BC"/>
    <w:rsid w:val="006A2175"/>
    <w:rsid w:val="006A26AF"/>
    <w:rsid w:val="006A2E02"/>
    <w:rsid w:val="006A406B"/>
    <w:rsid w:val="006A4692"/>
    <w:rsid w:val="006A4CBC"/>
    <w:rsid w:val="006A4F5E"/>
    <w:rsid w:val="006A530E"/>
    <w:rsid w:val="006A5A84"/>
    <w:rsid w:val="006A5CFE"/>
    <w:rsid w:val="006A666A"/>
    <w:rsid w:val="006A6A34"/>
    <w:rsid w:val="006A6D61"/>
    <w:rsid w:val="006B02B0"/>
    <w:rsid w:val="006B055C"/>
    <w:rsid w:val="006B14CA"/>
    <w:rsid w:val="006B1942"/>
    <w:rsid w:val="006B1BD9"/>
    <w:rsid w:val="006B2147"/>
    <w:rsid w:val="006B21A2"/>
    <w:rsid w:val="006B3073"/>
    <w:rsid w:val="006B54FE"/>
    <w:rsid w:val="006B59A4"/>
    <w:rsid w:val="006B643E"/>
    <w:rsid w:val="006C2A56"/>
    <w:rsid w:val="006C3ED7"/>
    <w:rsid w:val="006C47E6"/>
    <w:rsid w:val="006C4CE6"/>
    <w:rsid w:val="006C5E5D"/>
    <w:rsid w:val="006C7659"/>
    <w:rsid w:val="006D0939"/>
    <w:rsid w:val="006D1456"/>
    <w:rsid w:val="006D1553"/>
    <w:rsid w:val="006D1608"/>
    <w:rsid w:val="006D3519"/>
    <w:rsid w:val="006D432D"/>
    <w:rsid w:val="006D5166"/>
    <w:rsid w:val="006D5A39"/>
    <w:rsid w:val="006D5B8F"/>
    <w:rsid w:val="006D6656"/>
    <w:rsid w:val="006D6BCC"/>
    <w:rsid w:val="006D71AD"/>
    <w:rsid w:val="006D736B"/>
    <w:rsid w:val="006D76A5"/>
    <w:rsid w:val="006D7979"/>
    <w:rsid w:val="006E08EB"/>
    <w:rsid w:val="006E11A9"/>
    <w:rsid w:val="006E1ABE"/>
    <w:rsid w:val="006E1C40"/>
    <w:rsid w:val="006E1CEA"/>
    <w:rsid w:val="006E3182"/>
    <w:rsid w:val="006E33AA"/>
    <w:rsid w:val="006E3847"/>
    <w:rsid w:val="006E4C80"/>
    <w:rsid w:val="006E69E6"/>
    <w:rsid w:val="006E6E15"/>
    <w:rsid w:val="006F0835"/>
    <w:rsid w:val="006F0E6D"/>
    <w:rsid w:val="006F122A"/>
    <w:rsid w:val="006F1A17"/>
    <w:rsid w:val="006F38F8"/>
    <w:rsid w:val="006F748A"/>
    <w:rsid w:val="006F76E6"/>
    <w:rsid w:val="006F7884"/>
    <w:rsid w:val="007011EB"/>
    <w:rsid w:val="007016C7"/>
    <w:rsid w:val="0070201D"/>
    <w:rsid w:val="007023F3"/>
    <w:rsid w:val="007038D4"/>
    <w:rsid w:val="0070391B"/>
    <w:rsid w:val="00704621"/>
    <w:rsid w:val="00704A7A"/>
    <w:rsid w:val="007050BE"/>
    <w:rsid w:val="0070562C"/>
    <w:rsid w:val="00705D7A"/>
    <w:rsid w:val="00706802"/>
    <w:rsid w:val="0070769E"/>
    <w:rsid w:val="007076E8"/>
    <w:rsid w:val="007078E2"/>
    <w:rsid w:val="00707B27"/>
    <w:rsid w:val="0071148F"/>
    <w:rsid w:val="0071176E"/>
    <w:rsid w:val="00712DA8"/>
    <w:rsid w:val="0071384C"/>
    <w:rsid w:val="007150C4"/>
    <w:rsid w:val="0071516F"/>
    <w:rsid w:val="00715986"/>
    <w:rsid w:val="00715C49"/>
    <w:rsid w:val="00717992"/>
    <w:rsid w:val="00721851"/>
    <w:rsid w:val="00721F73"/>
    <w:rsid w:val="0072397F"/>
    <w:rsid w:val="00723B13"/>
    <w:rsid w:val="00724393"/>
    <w:rsid w:val="00724598"/>
    <w:rsid w:val="007249FA"/>
    <w:rsid w:val="00725171"/>
    <w:rsid w:val="007258D6"/>
    <w:rsid w:val="00725AE8"/>
    <w:rsid w:val="00726F2B"/>
    <w:rsid w:val="007278A8"/>
    <w:rsid w:val="007309BF"/>
    <w:rsid w:val="0073101D"/>
    <w:rsid w:val="007310F1"/>
    <w:rsid w:val="0073125E"/>
    <w:rsid w:val="007335DA"/>
    <w:rsid w:val="00734B24"/>
    <w:rsid w:val="00735243"/>
    <w:rsid w:val="00736B52"/>
    <w:rsid w:val="007402B2"/>
    <w:rsid w:val="00740FE9"/>
    <w:rsid w:val="0074154B"/>
    <w:rsid w:val="00741AFF"/>
    <w:rsid w:val="00742451"/>
    <w:rsid w:val="00743A4F"/>
    <w:rsid w:val="00743B67"/>
    <w:rsid w:val="007441E0"/>
    <w:rsid w:val="00744EC4"/>
    <w:rsid w:val="00745119"/>
    <w:rsid w:val="00745E43"/>
    <w:rsid w:val="00746970"/>
    <w:rsid w:val="007475ED"/>
    <w:rsid w:val="00747EFA"/>
    <w:rsid w:val="007506A3"/>
    <w:rsid w:val="0075133F"/>
    <w:rsid w:val="00751729"/>
    <w:rsid w:val="00752AED"/>
    <w:rsid w:val="007549FE"/>
    <w:rsid w:val="00755D45"/>
    <w:rsid w:val="0075609C"/>
    <w:rsid w:val="007567E4"/>
    <w:rsid w:val="007568E7"/>
    <w:rsid w:val="0075746D"/>
    <w:rsid w:val="00761209"/>
    <w:rsid w:val="00761516"/>
    <w:rsid w:val="007637AE"/>
    <w:rsid w:val="00763A15"/>
    <w:rsid w:val="0076432E"/>
    <w:rsid w:val="00764E6D"/>
    <w:rsid w:val="00765EF1"/>
    <w:rsid w:val="00766D8F"/>
    <w:rsid w:val="00767346"/>
    <w:rsid w:val="00767E78"/>
    <w:rsid w:val="00767F45"/>
    <w:rsid w:val="0077020B"/>
    <w:rsid w:val="007718D3"/>
    <w:rsid w:val="0077199C"/>
    <w:rsid w:val="00772496"/>
    <w:rsid w:val="00772A42"/>
    <w:rsid w:val="00774177"/>
    <w:rsid w:val="00774531"/>
    <w:rsid w:val="00774E24"/>
    <w:rsid w:val="00775570"/>
    <w:rsid w:val="0077570D"/>
    <w:rsid w:val="007761FC"/>
    <w:rsid w:val="00776C9A"/>
    <w:rsid w:val="00780661"/>
    <w:rsid w:val="007812E1"/>
    <w:rsid w:val="007816CE"/>
    <w:rsid w:val="007840EE"/>
    <w:rsid w:val="00784940"/>
    <w:rsid w:val="00785857"/>
    <w:rsid w:val="00785ADA"/>
    <w:rsid w:val="00786F0E"/>
    <w:rsid w:val="00787B84"/>
    <w:rsid w:val="00787BDE"/>
    <w:rsid w:val="00790640"/>
    <w:rsid w:val="00792C3E"/>
    <w:rsid w:val="00793FC9"/>
    <w:rsid w:val="00794325"/>
    <w:rsid w:val="00794A3F"/>
    <w:rsid w:val="007959E2"/>
    <w:rsid w:val="00796102"/>
    <w:rsid w:val="007963D0"/>
    <w:rsid w:val="007964FA"/>
    <w:rsid w:val="00797860"/>
    <w:rsid w:val="00797B9F"/>
    <w:rsid w:val="007A2A4E"/>
    <w:rsid w:val="007A2D76"/>
    <w:rsid w:val="007A3AE7"/>
    <w:rsid w:val="007A3DAA"/>
    <w:rsid w:val="007A3FD1"/>
    <w:rsid w:val="007A45F6"/>
    <w:rsid w:val="007A47BD"/>
    <w:rsid w:val="007A4A9D"/>
    <w:rsid w:val="007A5395"/>
    <w:rsid w:val="007A5CE9"/>
    <w:rsid w:val="007A5F07"/>
    <w:rsid w:val="007A686D"/>
    <w:rsid w:val="007A7F2D"/>
    <w:rsid w:val="007B0262"/>
    <w:rsid w:val="007B032B"/>
    <w:rsid w:val="007B04D0"/>
    <w:rsid w:val="007B063A"/>
    <w:rsid w:val="007B0E13"/>
    <w:rsid w:val="007B11A6"/>
    <w:rsid w:val="007B148B"/>
    <w:rsid w:val="007B151D"/>
    <w:rsid w:val="007B16B9"/>
    <w:rsid w:val="007B22E1"/>
    <w:rsid w:val="007B3261"/>
    <w:rsid w:val="007B3F87"/>
    <w:rsid w:val="007B548E"/>
    <w:rsid w:val="007B6DE5"/>
    <w:rsid w:val="007B6F10"/>
    <w:rsid w:val="007C3036"/>
    <w:rsid w:val="007C4F83"/>
    <w:rsid w:val="007C5CD0"/>
    <w:rsid w:val="007C69D4"/>
    <w:rsid w:val="007C78E6"/>
    <w:rsid w:val="007D11F0"/>
    <w:rsid w:val="007D14BE"/>
    <w:rsid w:val="007D36C2"/>
    <w:rsid w:val="007D40EB"/>
    <w:rsid w:val="007D430C"/>
    <w:rsid w:val="007D442D"/>
    <w:rsid w:val="007D5195"/>
    <w:rsid w:val="007D69EC"/>
    <w:rsid w:val="007D6C15"/>
    <w:rsid w:val="007D70E9"/>
    <w:rsid w:val="007E05A2"/>
    <w:rsid w:val="007E082F"/>
    <w:rsid w:val="007E0ADF"/>
    <w:rsid w:val="007E0DC9"/>
    <w:rsid w:val="007E0F93"/>
    <w:rsid w:val="007E119B"/>
    <w:rsid w:val="007E1E54"/>
    <w:rsid w:val="007E29FC"/>
    <w:rsid w:val="007E2CBB"/>
    <w:rsid w:val="007E312B"/>
    <w:rsid w:val="007E3560"/>
    <w:rsid w:val="007E39E9"/>
    <w:rsid w:val="007E3B23"/>
    <w:rsid w:val="007E3B7A"/>
    <w:rsid w:val="007E4754"/>
    <w:rsid w:val="007E4A26"/>
    <w:rsid w:val="007F09A5"/>
    <w:rsid w:val="007F13B9"/>
    <w:rsid w:val="007F32D6"/>
    <w:rsid w:val="007F3A75"/>
    <w:rsid w:val="007F3B2C"/>
    <w:rsid w:val="007F4581"/>
    <w:rsid w:val="007F558E"/>
    <w:rsid w:val="007F5DEA"/>
    <w:rsid w:val="007F7927"/>
    <w:rsid w:val="007F7AA4"/>
    <w:rsid w:val="008003DA"/>
    <w:rsid w:val="00800678"/>
    <w:rsid w:val="00800760"/>
    <w:rsid w:val="008013E1"/>
    <w:rsid w:val="008029F5"/>
    <w:rsid w:val="00802C05"/>
    <w:rsid w:val="008035A9"/>
    <w:rsid w:val="008048B4"/>
    <w:rsid w:val="0080551F"/>
    <w:rsid w:val="00806051"/>
    <w:rsid w:val="008105A7"/>
    <w:rsid w:val="00810955"/>
    <w:rsid w:val="00811F8A"/>
    <w:rsid w:val="00813A63"/>
    <w:rsid w:val="0081609A"/>
    <w:rsid w:val="0081644B"/>
    <w:rsid w:val="0082207B"/>
    <w:rsid w:val="008225B4"/>
    <w:rsid w:val="0082535A"/>
    <w:rsid w:val="00825A14"/>
    <w:rsid w:val="00825E72"/>
    <w:rsid w:val="008265F5"/>
    <w:rsid w:val="0082773A"/>
    <w:rsid w:val="00827776"/>
    <w:rsid w:val="008305B9"/>
    <w:rsid w:val="00830F7A"/>
    <w:rsid w:val="0083119E"/>
    <w:rsid w:val="008313DA"/>
    <w:rsid w:val="00831A17"/>
    <w:rsid w:val="00832ED4"/>
    <w:rsid w:val="008340BE"/>
    <w:rsid w:val="00834718"/>
    <w:rsid w:val="00834A45"/>
    <w:rsid w:val="00834D2F"/>
    <w:rsid w:val="00834DA0"/>
    <w:rsid w:val="0083512B"/>
    <w:rsid w:val="008367A7"/>
    <w:rsid w:val="00836A9D"/>
    <w:rsid w:val="00836F89"/>
    <w:rsid w:val="00840E65"/>
    <w:rsid w:val="00842334"/>
    <w:rsid w:val="00842504"/>
    <w:rsid w:val="008430A7"/>
    <w:rsid w:val="0084322A"/>
    <w:rsid w:val="008433CD"/>
    <w:rsid w:val="00844018"/>
    <w:rsid w:val="00844846"/>
    <w:rsid w:val="008449CF"/>
    <w:rsid w:val="00845843"/>
    <w:rsid w:val="00845DB1"/>
    <w:rsid w:val="00846291"/>
    <w:rsid w:val="00847515"/>
    <w:rsid w:val="00847CD4"/>
    <w:rsid w:val="008503BF"/>
    <w:rsid w:val="00851182"/>
    <w:rsid w:val="00851CC6"/>
    <w:rsid w:val="00851E52"/>
    <w:rsid w:val="00852A2B"/>
    <w:rsid w:val="00853F52"/>
    <w:rsid w:val="0085435B"/>
    <w:rsid w:val="008545CF"/>
    <w:rsid w:val="008565B1"/>
    <w:rsid w:val="00856D05"/>
    <w:rsid w:val="008573AB"/>
    <w:rsid w:val="00860774"/>
    <w:rsid w:val="0086110E"/>
    <w:rsid w:val="008625F9"/>
    <w:rsid w:val="00862C20"/>
    <w:rsid w:val="00863DE7"/>
    <w:rsid w:val="00864106"/>
    <w:rsid w:val="00864AFD"/>
    <w:rsid w:val="00864D35"/>
    <w:rsid w:val="008657AF"/>
    <w:rsid w:val="00867351"/>
    <w:rsid w:val="008701E5"/>
    <w:rsid w:val="008701E6"/>
    <w:rsid w:val="00870997"/>
    <w:rsid w:val="008709AF"/>
    <w:rsid w:val="00872802"/>
    <w:rsid w:val="0087281F"/>
    <w:rsid w:val="00872EFB"/>
    <w:rsid w:val="008730B5"/>
    <w:rsid w:val="00874428"/>
    <w:rsid w:val="00875077"/>
    <w:rsid w:val="00875CC7"/>
    <w:rsid w:val="00877176"/>
    <w:rsid w:val="00877465"/>
    <w:rsid w:val="00877AF9"/>
    <w:rsid w:val="00883053"/>
    <w:rsid w:val="00883AFC"/>
    <w:rsid w:val="00884DF6"/>
    <w:rsid w:val="00885648"/>
    <w:rsid w:val="008858B8"/>
    <w:rsid w:val="00885FE7"/>
    <w:rsid w:val="008865CB"/>
    <w:rsid w:val="00891E10"/>
    <w:rsid w:val="008934C0"/>
    <w:rsid w:val="00896448"/>
    <w:rsid w:val="008968A9"/>
    <w:rsid w:val="008972A3"/>
    <w:rsid w:val="00897492"/>
    <w:rsid w:val="0089776D"/>
    <w:rsid w:val="008A0D0D"/>
    <w:rsid w:val="008A11A3"/>
    <w:rsid w:val="008A16AF"/>
    <w:rsid w:val="008A1ACB"/>
    <w:rsid w:val="008A2A77"/>
    <w:rsid w:val="008A2D63"/>
    <w:rsid w:val="008A3CA4"/>
    <w:rsid w:val="008A4BF9"/>
    <w:rsid w:val="008A50E2"/>
    <w:rsid w:val="008B0EF4"/>
    <w:rsid w:val="008B1012"/>
    <w:rsid w:val="008B48DF"/>
    <w:rsid w:val="008B5118"/>
    <w:rsid w:val="008B524E"/>
    <w:rsid w:val="008B7391"/>
    <w:rsid w:val="008B73A7"/>
    <w:rsid w:val="008C01E6"/>
    <w:rsid w:val="008C06D6"/>
    <w:rsid w:val="008C0DE9"/>
    <w:rsid w:val="008C14DF"/>
    <w:rsid w:val="008C1F2B"/>
    <w:rsid w:val="008C22D8"/>
    <w:rsid w:val="008C2454"/>
    <w:rsid w:val="008C4541"/>
    <w:rsid w:val="008C5D44"/>
    <w:rsid w:val="008C6DAF"/>
    <w:rsid w:val="008D00A5"/>
    <w:rsid w:val="008D05B4"/>
    <w:rsid w:val="008D07E1"/>
    <w:rsid w:val="008D0C63"/>
    <w:rsid w:val="008D0C9D"/>
    <w:rsid w:val="008D27DC"/>
    <w:rsid w:val="008D3292"/>
    <w:rsid w:val="008D419F"/>
    <w:rsid w:val="008D4A51"/>
    <w:rsid w:val="008D5240"/>
    <w:rsid w:val="008D5587"/>
    <w:rsid w:val="008D5970"/>
    <w:rsid w:val="008D663D"/>
    <w:rsid w:val="008E040F"/>
    <w:rsid w:val="008E14B6"/>
    <w:rsid w:val="008E20EA"/>
    <w:rsid w:val="008E26A3"/>
    <w:rsid w:val="008E30D7"/>
    <w:rsid w:val="008E3827"/>
    <w:rsid w:val="008E3DC2"/>
    <w:rsid w:val="008E4EE7"/>
    <w:rsid w:val="008E54D3"/>
    <w:rsid w:val="008E5C0E"/>
    <w:rsid w:val="008E5D38"/>
    <w:rsid w:val="008E6423"/>
    <w:rsid w:val="008E6A33"/>
    <w:rsid w:val="008E6EF9"/>
    <w:rsid w:val="008E7C3A"/>
    <w:rsid w:val="008E7C96"/>
    <w:rsid w:val="008F0F12"/>
    <w:rsid w:val="008F1EF3"/>
    <w:rsid w:val="008F1FC4"/>
    <w:rsid w:val="008F27A7"/>
    <w:rsid w:val="008F2971"/>
    <w:rsid w:val="008F2DBC"/>
    <w:rsid w:val="008F4589"/>
    <w:rsid w:val="008F46A7"/>
    <w:rsid w:val="008F63A2"/>
    <w:rsid w:val="008F6C11"/>
    <w:rsid w:val="008F7354"/>
    <w:rsid w:val="008F78C7"/>
    <w:rsid w:val="00901DAE"/>
    <w:rsid w:val="00903301"/>
    <w:rsid w:val="00903360"/>
    <w:rsid w:val="0090748B"/>
    <w:rsid w:val="009074F4"/>
    <w:rsid w:val="009077FB"/>
    <w:rsid w:val="0091004E"/>
    <w:rsid w:val="00910289"/>
    <w:rsid w:val="009107C7"/>
    <w:rsid w:val="009124AD"/>
    <w:rsid w:val="00912B90"/>
    <w:rsid w:val="009145BB"/>
    <w:rsid w:val="00914A5C"/>
    <w:rsid w:val="00915533"/>
    <w:rsid w:val="00915B5A"/>
    <w:rsid w:val="009202DF"/>
    <w:rsid w:val="00920304"/>
    <w:rsid w:val="009205A6"/>
    <w:rsid w:val="009212F8"/>
    <w:rsid w:val="0092158D"/>
    <w:rsid w:val="0092472F"/>
    <w:rsid w:val="00925576"/>
    <w:rsid w:val="00925ED2"/>
    <w:rsid w:val="009261AF"/>
    <w:rsid w:val="00926574"/>
    <w:rsid w:val="00930472"/>
    <w:rsid w:val="00931116"/>
    <w:rsid w:val="00931E27"/>
    <w:rsid w:val="0093202C"/>
    <w:rsid w:val="00932273"/>
    <w:rsid w:val="00933E32"/>
    <w:rsid w:val="00934644"/>
    <w:rsid w:val="00935BC2"/>
    <w:rsid w:val="00936BED"/>
    <w:rsid w:val="00936DC0"/>
    <w:rsid w:val="00937546"/>
    <w:rsid w:val="009379F4"/>
    <w:rsid w:val="00937D61"/>
    <w:rsid w:val="009413E0"/>
    <w:rsid w:val="00943A02"/>
    <w:rsid w:val="00943BCC"/>
    <w:rsid w:val="00946244"/>
    <w:rsid w:val="00946473"/>
    <w:rsid w:val="009471CD"/>
    <w:rsid w:val="00951F4D"/>
    <w:rsid w:val="00951FA0"/>
    <w:rsid w:val="00952101"/>
    <w:rsid w:val="009529C2"/>
    <w:rsid w:val="009534A6"/>
    <w:rsid w:val="009534E0"/>
    <w:rsid w:val="00953979"/>
    <w:rsid w:val="009546F0"/>
    <w:rsid w:val="0095632B"/>
    <w:rsid w:val="009566EB"/>
    <w:rsid w:val="00957151"/>
    <w:rsid w:val="00957EA6"/>
    <w:rsid w:val="00957FBC"/>
    <w:rsid w:val="0096018D"/>
    <w:rsid w:val="009604DD"/>
    <w:rsid w:val="009614BF"/>
    <w:rsid w:val="00961F91"/>
    <w:rsid w:val="009631C9"/>
    <w:rsid w:val="009632AA"/>
    <w:rsid w:val="00963B47"/>
    <w:rsid w:val="00964865"/>
    <w:rsid w:val="009648DF"/>
    <w:rsid w:val="00965DC4"/>
    <w:rsid w:val="00966F49"/>
    <w:rsid w:val="00967031"/>
    <w:rsid w:val="00972CF0"/>
    <w:rsid w:val="009733A9"/>
    <w:rsid w:val="00973895"/>
    <w:rsid w:val="009740CA"/>
    <w:rsid w:val="0097458A"/>
    <w:rsid w:val="00974CE3"/>
    <w:rsid w:val="00974D16"/>
    <w:rsid w:val="00975B80"/>
    <w:rsid w:val="00977AD6"/>
    <w:rsid w:val="00980110"/>
    <w:rsid w:val="00980E3C"/>
    <w:rsid w:val="00981510"/>
    <w:rsid w:val="009818A5"/>
    <w:rsid w:val="00981995"/>
    <w:rsid w:val="00982310"/>
    <w:rsid w:val="00982354"/>
    <w:rsid w:val="00982AA3"/>
    <w:rsid w:val="00982BE1"/>
    <w:rsid w:val="00983422"/>
    <w:rsid w:val="00983FDA"/>
    <w:rsid w:val="009844D0"/>
    <w:rsid w:val="00985339"/>
    <w:rsid w:val="00986768"/>
    <w:rsid w:val="009879B1"/>
    <w:rsid w:val="00990C15"/>
    <w:rsid w:val="00990FC5"/>
    <w:rsid w:val="009922E1"/>
    <w:rsid w:val="0099245D"/>
    <w:rsid w:val="00992B12"/>
    <w:rsid w:val="00993463"/>
    <w:rsid w:val="009940FC"/>
    <w:rsid w:val="00994DF6"/>
    <w:rsid w:val="009956BF"/>
    <w:rsid w:val="00996AFC"/>
    <w:rsid w:val="0099724F"/>
    <w:rsid w:val="009977B8"/>
    <w:rsid w:val="00997977"/>
    <w:rsid w:val="009A0966"/>
    <w:rsid w:val="009A0E23"/>
    <w:rsid w:val="009A12FA"/>
    <w:rsid w:val="009A1903"/>
    <w:rsid w:val="009A1E5E"/>
    <w:rsid w:val="009A1F31"/>
    <w:rsid w:val="009A284B"/>
    <w:rsid w:val="009A3AC4"/>
    <w:rsid w:val="009A3F54"/>
    <w:rsid w:val="009A5B2A"/>
    <w:rsid w:val="009A6EC5"/>
    <w:rsid w:val="009A7B6B"/>
    <w:rsid w:val="009A7FA9"/>
    <w:rsid w:val="009B0958"/>
    <w:rsid w:val="009B0CC6"/>
    <w:rsid w:val="009B21FA"/>
    <w:rsid w:val="009B33A4"/>
    <w:rsid w:val="009B358B"/>
    <w:rsid w:val="009B37F4"/>
    <w:rsid w:val="009B4F5E"/>
    <w:rsid w:val="009B6C48"/>
    <w:rsid w:val="009B6D15"/>
    <w:rsid w:val="009B7526"/>
    <w:rsid w:val="009B78A4"/>
    <w:rsid w:val="009C02CF"/>
    <w:rsid w:val="009C1A71"/>
    <w:rsid w:val="009C1B31"/>
    <w:rsid w:val="009C2A9B"/>
    <w:rsid w:val="009C3DBD"/>
    <w:rsid w:val="009C3E17"/>
    <w:rsid w:val="009C41BD"/>
    <w:rsid w:val="009C6ED4"/>
    <w:rsid w:val="009C7EB7"/>
    <w:rsid w:val="009D15DA"/>
    <w:rsid w:val="009D1BAE"/>
    <w:rsid w:val="009D1E92"/>
    <w:rsid w:val="009D2337"/>
    <w:rsid w:val="009D3665"/>
    <w:rsid w:val="009D4DDC"/>
    <w:rsid w:val="009D4DE9"/>
    <w:rsid w:val="009D5456"/>
    <w:rsid w:val="009D58BA"/>
    <w:rsid w:val="009D5ECE"/>
    <w:rsid w:val="009D6E1A"/>
    <w:rsid w:val="009D6F2F"/>
    <w:rsid w:val="009E086A"/>
    <w:rsid w:val="009E261E"/>
    <w:rsid w:val="009E3073"/>
    <w:rsid w:val="009E39B0"/>
    <w:rsid w:val="009E43BD"/>
    <w:rsid w:val="009E5472"/>
    <w:rsid w:val="009E63AD"/>
    <w:rsid w:val="009E752C"/>
    <w:rsid w:val="009F0B09"/>
    <w:rsid w:val="009F0B4A"/>
    <w:rsid w:val="009F1137"/>
    <w:rsid w:val="009F14E2"/>
    <w:rsid w:val="009F230B"/>
    <w:rsid w:val="009F27B8"/>
    <w:rsid w:val="009F2C41"/>
    <w:rsid w:val="009F31F7"/>
    <w:rsid w:val="009F3EA3"/>
    <w:rsid w:val="009F465B"/>
    <w:rsid w:val="009F54EA"/>
    <w:rsid w:val="009F6069"/>
    <w:rsid w:val="009F6E36"/>
    <w:rsid w:val="00A00301"/>
    <w:rsid w:val="00A02AB0"/>
    <w:rsid w:val="00A02B61"/>
    <w:rsid w:val="00A02C80"/>
    <w:rsid w:val="00A03059"/>
    <w:rsid w:val="00A032E8"/>
    <w:rsid w:val="00A03FB7"/>
    <w:rsid w:val="00A04168"/>
    <w:rsid w:val="00A041B1"/>
    <w:rsid w:val="00A045F5"/>
    <w:rsid w:val="00A04AF7"/>
    <w:rsid w:val="00A0606F"/>
    <w:rsid w:val="00A06732"/>
    <w:rsid w:val="00A06BFB"/>
    <w:rsid w:val="00A07341"/>
    <w:rsid w:val="00A100AD"/>
    <w:rsid w:val="00A10675"/>
    <w:rsid w:val="00A10A8A"/>
    <w:rsid w:val="00A117FD"/>
    <w:rsid w:val="00A124A4"/>
    <w:rsid w:val="00A13118"/>
    <w:rsid w:val="00A1333D"/>
    <w:rsid w:val="00A13EFA"/>
    <w:rsid w:val="00A152A7"/>
    <w:rsid w:val="00A15E8B"/>
    <w:rsid w:val="00A16BAD"/>
    <w:rsid w:val="00A17B98"/>
    <w:rsid w:val="00A17D91"/>
    <w:rsid w:val="00A20614"/>
    <w:rsid w:val="00A2116F"/>
    <w:rsid w:val="00A23556"/>
    <w:rsid w:val="00A2530C"/>
    <w:rsid w:val="00A257A3"/>
    <w:rsid w:val="00A25B97"/>
    <w:rsid w:val="00A26362"/>
    <w:rsid w:val="00A279EC"/>
    <w:rsid w:val="00A302F4"/>
    <w:rsid w:val="00A326FD"/>
    <w:rsid w:val="00A3338A"/>
    <w:rsid w:val="00A3361D"/>
    <w:rsid w:val="00A342E9"/>
    <w:rsid w:val="00A34F7F"/>
    <w:rsid w:val="00A34FD4"/>
    <w:rsid w:val="00A3606D"/>
    <w:rsid w:val="00A364C9"/>
    <w:rsid w:val="00A36C72"/>
    <w:rsid w:val="00A37399"/>
    <w:rsid w:val="00A37418"/>
    <w:rsid w:val="00A41DE1"/>
    <w:rsid w:val="00A422E7"/>
    <w:rsid w:val="00A423CC"/>
    <w:rsid w:val="00A4736F"/>
    <w:rsid w:val="00A47B33"/>
    <w:rsid w:val="00A516AD"/>
    <w:rsid w:val="00A51876"/>
    <w:rsid w:val="00A518DF"/>
    <w:rsid w:val="00A53377"/>
    <w:rsid w:val="00A533BF"/>
    <w:rsid w:val="00A533CC"/>
    <w:rsid w:val="00A54593"/>
    <w:rsid w:val="00A548F0"/>
    <w:rsid w:val="00A54D36"/>
    <w:rsid w:val="00A5525E"/>
    <w:rsid w:val="00A56E4C"/>
    <w:rsid w:val="00A57AFA"/>
    <w:rsid w:val="00A602DF"/>
    <w:rsid w:val="00A607C2"/>
    <w:rsid w:val="00A60CE7"/>
    <w:rsid w:val="00A615CA"/>
    <w:rsid w:val="00A61C0C"/>
    <w:rsid w:val="00A626E4"/>
    <w:rsid w:val="00A639D4"/>
    <w:rsid w:val="00A64656"/>
    <w:rsid w:val="00A6755F"/>
    <w:rsid w:val="00A712A8"/>
    <w:rsid w:val="00A71508"/>
    <w:rsid w:val="00A71E14"/>
    <w:rsid w:val="00A7284C"/>
    <w:rsid w:val="00A73F22"/>
    <w:rsid w:val="00A744E7"/>
    <w:rsid w:val="00A74A12"/>
    <w:rsid w:val="00A74FDF"/>
    <w:rsid w:val="00A75CCE"/>
    <w:rsid w:val="00A76056"/>
    <w:rsid w:val="00A764A2"/>
    <w:rsid w:val="00A76B60"/>
    <w:rsid w:val="00A76E58"/>
    <w:rsid w:val="00A77FFC"/>
    <w:rsid w:val="00A801C4"/>
    <w:rsid w:val="00A811B1"/>
    <w:rsid w:val="00A83913"/>
    <w:rsid w:val="00A847C6"/>
    <w:rsid w:val="00A85A9E"/>
    <w:rsid w:val="00A869A0"/>
    <w:rsid w:val="00A86DB1"/>
    <w:rsid w:val="00A86FAE"/>
    <w:rsid w:val="00A87A52"/>
    <w:rsid w:val="00A903A2"/>
    <w:rsid w:val="00A908D8"/>
    <w:rsid w:val="00A90F0C"/>
    <w:rsid w:val="00A913FB"/>
    <w:rsid w:val="00A92507"/>
    <w:rsid w:val="00A925F2"/>
    <w:rsid w:val="00A926D4"/>
    <w:rsid w:val="00A932EE"/>
    <w:rsid w:val="00A94428"/>
    <w:rsid w:val="00A94617"/>
    <w:rsid w:val="00A94646"/>
    <w:rsid w:val="00A9473B"/>
    <w:rsid w:val="00A949D9"/>
    <w:rsid w:val="00A957D4"/>
    <w:rsid w:val="00A96526"/>
    <w:rsid w:val="00A96F36"/>
    <w:rsid w:val="00AA0B47"/>
    <w:rsid w:val="00AA1D47"/>
    <w:rsid w:val="00AA2C61"/>
    <w:rsid w:val="00AA38C8"/>
    <w:rsid w:val="00AA3B0E"/>
    <w:rsid w:val="00AA4BBC"/>
    <w:rsid w:val="00AA5230"/>
    <w:rsid w:val="00AA5383"/>
    <w:rsid w:val="00AA5F65"/>
    <w:rsid w:val="00AA698D"/>
    <w:rsid w:val="00AA6B57"/>
    <w:rsid w:val="00AA6FBD"/>
    <w:rsid w:val="00AA711A"/>
    <w:rsid w:val="00AA755C"/>
    <w:rsid w:val="00AA7DFC"/>
    <w:rsid w:val="00AB0B41"/>
    <w:rsid w:val="00AB0B58"/>
    <w:rsid w:val="00AB0B91"/>
    <w:rsid w:val="00AB1A3E"/>
    <w:rsid w:val="00AB1AB2"/>
    <w:rsid w:val="00AB2899"/>
    <w:rsid w:val="00AB29EC"/>
    <w:rsid w:val="00AB3D75"/>
    <w:rsid w:val="00AB48ED"/>
    <w:rsid w:val="00AB4A6C"/>
    <w:rsid w:val="00AB55C3"/>
    <w:rsid w:val="00AB5797"/>
    <w:rsid w:val="00AB63E4"/>
    <w:rsid w:val="00AB6DF6"/>
    <w:rsid w:val="00AB70AB"/>
    <w:rsid w:val="00AB71E9"/>
    <w:rsid w:val="00AB723F"/>
    <w:rsid w:val="00AC0788"/>
    <w:rsid w:val="00AC1208"/>
    <w:rsid w:val="00AC25CE"/>
    <w:rsid w:val="00AC2610"/>
    <w:rsid w:val="00AC2B15"/>
    <w:rsid w:val="00AC2BC3"/>
    <w:rsid w:val="00AC2D9D"/>
    <w:rsid w:val="00AC443E"/>
    <w:rsid w:val="00AC448D"/>
    <w:rsid w:val="00AC4EE6"/>
    <w:rsid w:val="00AC5AFE"/>
    <w:rsid w:val="00AC631F"/>
    <w:rsid w:val="00AC6F8F"/>
    <w:rsid w:val="00AC7124"/>
    <w:rsid w:val="00AC7D47"/>
    <w:rsid w:val="00AD090B"/>
    <w:rsid w:val="00AD0F5B"/>
    <w:rsid w:val="00AD1373"/>
    <w:rsid w:val="00AD1AEC"/>
    <w:rsid w:val="00AD1C1E"/>
    <w:rsid w:val="00AD2596"/>
    <w:rsid w:val="00AD29B4"/>
    <w:rsid w:val="00AD2CF2"/>
    <w:rsid w:val="00AD4B74"/>
    <w:rsid w:val="00AD511F"/>
    <w:rsid w:val="00AD56F2"/>
    <w:rsid w:val="00AD576F"/>
    <w:rsid w:val="00AD6058"/>
    <w:rsid w:val="00AD78E7"/>
    <w:rsid w:val="00AD7B0B"/>
    <w:rsid w:val="00AE0236"/>
    <w:rsid w:val="00AE08DE"/>
    <w:rsid w:val="00AE0F4C"/>
    <w:rsid w:val="00AE0FFB"/>
    <w:rsid w:val="00AE1F4D"/>
    <w:rsid w:val="00AE2C8B"/>
    <w:rsid w:val="00AE3928"/>
    <w:rsid w:val="00AE4F12"/>
    <w:rsid w:val="00AE601C"/>
    <w:rsid w:val="00AE6B75"/>
    <w:rsid w:val="00AE7470"/>
    <w:rsid w:val="00AE7BF0"/>
    <w:rsid w:val="00AF03E4"/>
    <w:rsid w:val="00AF0BEB"/>
    <w:rsid w:val="00AF0CD8"/>
    <w:rsid w:val="00AF1EAD"/>
    <w:rsid w:val="00AF24E0"/>
    <w:rsid w:val="00AF5DC4"/>
    <w:rsid w:val="00AF603B"/>
    <w:rsid w:val="00AF6B02"/>
    <w:rsid w:val="00B0251F"/>
    <w:rsid w:val="00B034B2"/>
    <w:rsid w:val="00B043E3"/>
    <w:rsid w:val="00B1006F"/>
    <w:rsid w:val="00B10C1E"/>
    <w:rsid w:val="00B10C82"/>
    <w:rsid w:val="00B11401"/>
    <w:rsid w:val="00B11548"/>
    <w:rsid w:val="00B11776"/>
    <w:rsid w:val="00B1257D"/>
    <w:rsid w:val="00B12872"/>
    <w:rsid w:val="00B12D7D"/>
    <w:rsid w:val="00B12DF2"/>
    <w:rsid w:val="00B12F0A"/>
    <w:rsid w:val="00B12FC1"/>
    <w:rsid w:val="00B140F2"/>
    <w:rsid w:val="00B14175"/>
    <w:rsid w:val="00B15266"/>
    <w:rsid w:val="00B1752E"/>
    <w:rsid w:val="00B17826"/>
    <w:rsid w:val="00B17B7A"/>
    <w:rsid w:val="00B17B7D"/>
    <w:rsid w:val="00B208BE"/>
    <w:rsid w:val="00B211DF"/>
    <w:rsid w:val="00B216B5"/>
    <w:rsid w:val="00B21F0C"/>
    <w:rsid w:val="00B22B2C"/>
    <w:rsid w:val="00B22D9F"/>
    <w:rsid w:val="00B2308B"/>
    <w:rsid w:val="00B242C9"/>
    <w:rsid w:val="00B245BE"/>
    <w:rsid w:val="00B24B91"/>
    <w:rsid w:val="00B2583C"/>
    <w:rsid w:val="00B2599E"/>
    <w:rsid w:val="00B26D43"/>
    <w:rsid w:val="00B27203"/>
    <w:rsid w:val="00B273F9"/>
    <w:rsid w:val="00B32CC3"/>
    <w:rsid w:val="00B34F44"/>
    <w:rsid w:val="00B35ACE"/>
    <w:rsid w:val="00B35E99"/>
    <w:rsid w:val="00B35F44"/>
    <w:rsid w:val="00B36136"/>
    <w:rsid w:val="00B36956"/>
    <w:rsid w:val="00B37759"/>
    <w:rsid w:val="00B37C04"/>
    <w:rsid w:val="00B40B2C"/>
    <w:rsid w:val="00B41AF2"/>
    <w:rsid w:val="00B42C6E"/>
    <w:rsid w:val="00B42EA6"/>
    <w:rsid w:val="00B43D71"/>
    <w:rsid w:val="00B445EA"/>
    <w:rsid w:val="00B44DEC"/>
    <w:rsid w:val="00B4718A"/>
    <w:rsid w:val="00B47A1C"/>
    <w:rsid w:val="00B50487"/>
    <w:rsid w:val="00B51F86"/>
    <w:rsid w:val="00B5280D"/>
    <w:rsid w:val="00B52DB1"/>
    <w:rsid w:val="00B5319C"/>
    <w:rsid w:val="00B53731"/>
    <w:rsid w:val="00B53B55"/>
    <w:rsid w:val="00B54228"/>
    <w:rsid w:val="00B55209"/>
    <w:rsid w:val="00B55E7A"/>
    <w:rsid w:val="00B56316"/>
    <w:rsid w:val="00B56331"/>
    <w:rsid w:val="00B56435"/>
    <w:rsid w:val="00B565FB"/>
    <w:rsid w:val="00B5721D"/>
    <w:rsid w:val="00B608AF"/>
    <w:rsid w:val="00B6195D"/>
    <w:rsid w:val="00B621BD"/>
    <w:rsid w:val="00B633EA"/>
    <w:rsid w:val="00B63A56"/>
    <w:rsid w:val="00B6452C"/>
    <w:rsid w:val="00B6456A"/>
    <w:rsid w:val="00B64AE8"/>
    <w:rsid w:val="00B6589B"/>
    <w:rsid w:val="00B6639D"/>
    <w:rsid w:val="00B66677"/>
    <w:rsid w:val="00B66C03"/>
    <w:rsid w:val="00B67F5F"/>
    <w:rsid w:val="00B70052"/>
    <w:rsid w:val="00B72328"/>
    <w:rsid w:val="00B746BF"/>
    <w:rsid w:val="00B74762"/>
    <w:rsid w:val="00B7495D"/>
    <w:rsid w:val="00B7537B"/>
    <w:rsid w:val="00B75B09"/>
    <w:rsid w:val="00B8143D"/>
    <w:rsid w:val="00B816D8"/>
    <w:rsid w:val="00B81C31"/>
    <w:rsid w:val="00B82150"/>
    <w:rsid w:val="00B82783"/>
    <w:rsid w:val="00B83DDF"/>
    <w:rsid w:val="00B852D7"/>
    <w:rsid w:val="00B85A17"/>
    <w:rsid w:val="00B8634A"/>
    <w:rsid w:val="00B86627"/>
    <w:rsid w:val="00B86E08"/>
    <w:rsid w:val="00B9005C"/>
    <w:rsid w:val="00B90FAA"/>
    <w:rsid w:val="00B91776"/>
    <w:rsid w:val="00B92F51"/>
    <w:rsid w:val="00B93756"/>
    <w:rsid w:val="00B94486"/>
    <w:rsid w:val="00B9461A"/>
    <w:rsid w:val="00B94C78"/>
    <w:rsid w:val="00B94F8F"/>
    <w:rsid w:val="00B954B2"/>
    <w:rsid w:val="00B95E42"/>
    <w:rsid w:val="00B97D54"/>
    <w:rsid w:val="00BA0C85"/>
    <w:rsid w:val="00BA0FC6"/>
    <w:rsid w:val="00BA22BD"/>
    <w:rsid w:val="00BA257F"/>
    <w:rsid w:val="00BA2672"/>
    <w:rsid w:val="00BA29A7"/>
    <w:rsid w:val="00BA2B43"/>
    <w:rsid w:val="00BA32EC"/>
    <w:rsid w:val="00BA39CE"/>
    <w:rsid w:val="00BA513D"/>
    <w:rsid w:val="00BA5526"/>
    <w:rsid w:val="00BA5E2B"/>
    <w:rsid w:val="00BB07C3"/>
    <w:rsid w:val="00BB189C"/>
    <w:rsid w:val="00BB1A46"/>
    <w:rsid w:val="00BB1D70"/>
    <w:rsid w:val="00BB3D46"/>
    <w:rsid w:val="00BB451B"/>
    <w:rsid w:val="00BB4C5A"/>
    <w:rsid w:val="00BB601B"/>
    <w:rsid w:val="00BB6C01"/>
    <w:rsid w:val="00BC0722"/>
    <w:rsid w:val="00BC077C"/>
    <w:rsid w:val="00BC1137"/>
    <w:rsid w:val="00BC1B20"/>
    <w:rsid w:val="00BC1D17"/>
    <w:rsid w:val="00BC2235"/>
    <w:rsid w:val="00BC653D"/>
    <w:rsid w:val="00BC66C5"/>
    <w:rsid w:val="00BC7870"/>
    <w:rsid w:val="00BC799A"/>
    <w:rsid w:val="00BD06AB"/>
    <w:rsid w:val="00BD06B1"/>
    <w:rsid w:val="00BD0D25"/>
    <w:rsid w:val="00BD0FE7"/>
    <w:rsid w:val="00BD3263"/>
    <w:rsid w:val="00BD41BB"/>
    <w:rsid w:val="00BD4424"/>
    <w:rsid w:val="00BD73F5"/>
    <w:rsid w:val="00BD7AE8"/>
    <w:rsid w:val="00BE0E3F"/>
    <w:rsid w:val="00BE11E5"/>
    <w:rsid w:val="00BE1AEF"/>
    <w:rsid w:val="00BE1EF0"/>
    <w:rsid w:val="00BE28C1"/>
    <w:rsid w:val="00BE2C64"/>
    <w:rsid w:val="00BE2F47"/>
    <w:rsid w:val="00BE4849"/>
    <w:rsid w:val="00BE4D4F"/>
    <w:rsid w:val="00BE59B6"/>
    <w:rsid w:val="00BE5FCA"/>
    <w:rsid w:val="00BE6CE3"/>
    <w:rsid w:val="00BE7F64"/>
    <w:rsid w:val="00BF02C2"/>
    <w:rsid w:val="00BF111B"/>
    <w:rsid w:val="00BF1643"/>
    <w:rsid w:val="00BF1FE8"/>
    <w:rsid w:val="00BF27F6"/>
    <w:rsid w:val="00BF37CB"/>
    <w:rsid w:val="00BF4047"/>
    <w:rsid w:val="00BF67A0"/>
    <w:rsid w:val="00BF6A3A"/>
    <w:rsid w:val="00C00FF2"/>
    <w:rsid w:val="00C01743"/>
    <w:rsid w:val="00C01A48"/>
    <w:rsid w:val="00C03C01"/>
    <w:rsid w:val="00C03F75"/>
    <w:rsid w:val="00C047CE"/>
    <w:rsid w:val="00C06F4E"/>
    <w:rsid w:val="00C07FDA"/>
    <w:rsid w:val="00C10492"/>
    <w:rsid w:val="00C11514"/>
    <w:rsid w:val="00C119C9"/>
    <w:rsid w:val="00C11BF8"/>
    <w:rsid w:val="00C12CBB"/>
    <w:rsid w:val="00C13C20"/>
    <w:rsid w:val="00C13E4C"/>
    <w:rsid w:val="00C13EC6"/>
    <w:rsid w:val="00C143C3"/>
    <w:rsid w:val="00C144CF"/>
    <w:rsid w:val="00C14A7F"/>
    <w:rsid w:val="00C153D0"/>
    <w:rsid w:val="00C15823"/>
    <w:rsid w:val="00C15C3E"/>
    <w:rsid w:val="00C16EC9"/>
    <w:rsid w:val="00C17510"/>
    <w:rsid w:val="00C17AE4"/>
    <w:rsid w:val="00C21DCE"/>
    <w:rsid w:val="00C21DE4"/>
    <w:rsid w:val="00C22882"/>
    <w:rsid w:val="00C2350B"/>
    <w:rsid w:val="00C23C2E"/>
    <w:rsid w:val="00C24CA2"/>
    <w:rsid w:val="00C261D5"/>
    <w:rsid w:val="00C26658"/>
    <w:rsid w:val="00C27D8B"/>
    <w:rsid w:val="00C302B5"/>
    <w:rsid w:val="00C306EE"/>
    <w:rsid w:val="00C30802"/>
    <w:rsid w:val="00C3167F"/>
    <w:rsid w:val="00C31884"/>
    <w:rsid w:val="00C31C60"/>
    <w:rsid w:val="00C3213B"/>
    <w:rsid w:val="00C325CB"/>
    <w:rsid w:val="00C32D7A"/>
    <w:rsid w:val="00C32E37"/>
    <w:rsid w:val="00C32FA2"/>
    <w:rsid w:val="00C34030"/>
    <w:rsid w:val="00C341EE"/>
    <w:rsid w:val="00C35CDD"/>
    <w:rsid w:val="00C365E2"/>
    <w:rsid w:val="00C367D4"/>
    <w:rsid w:val="00C408BE"/>
    <w:rsid w:val="00C42805"/>
    <w:rsid w:val="00C42A6B"/>
    <w:rsid w:val="00C44B12"/>
    <w:rsid w:val="00C450FF"/>
    <w:rsid w:val="00C453C8"/>
    <w:rsid w:val="00C45809"/>
    <w:rsid w:val="00C46686"/>
    <w:rsid w:val="00C47AC4"/>
    <w:rsid w:val="00C47D0B"/>
    <w:rsid w:val="00C508C1"/>
    <w:rsid w:val="00C53631"/>
    <w:rsid w:val="00C53CE4"/>
    <w:rsid w:val="00C54C93"/>
    <w:rsid w:val="00C57302"/>
    <w:rsid w:val="00C57EF2"/>
    <w:rsid w:val="00C6017D"/>
    <w:rsid w:val="00C60F3E"/>
    <w:rsid w:val="00C62365"/>
    <w:rsid w:val="00C62D16"/>
    <w:rsid w:val="00C631D2"/>
    <w:rsid w:val="00C645E2"/>
    <w:rsid w:val="00C64956"/>
    <w:rsid w:val="00C65687"/>
    <w:rsid w:val="00C66A25"/>
    <w:rsid w:val="00C673B5"/>
    <w:rsid w:val="00C67415"/>
    <w:rsid w:val="00C676C9"/>
    <w:rsid w:val="00C7006F"/>
    <w:rsid w:val="00C711F6"/>
    <w:rsid w:val="00C72459"/>
    <w:rsid w:val="00C72725"/>
    <w:rsid w:val="00C72F5F"/>
    <w:rsid w:val="00C73F7F"/>
    <w:rsid w:val="00C74715"/>
    <w:rsid w:val="00C7486B"/>
    <w:rsid w:val="00C74FC7"/>
    <w:rsid w:val="00C76D12"/>
    <w:rsid w:val="00C778C3"/>
    <w:rsid w:val="00C800DC"/>
    <w:rsid w:val="00C804AF"/>
    <w:rsid w:val="00C80DC8"/>
    <w:rsid w:val="00C81926"/>
    <w:rsid w:val="00C84FFC"/>
    <w:rsid w:val="00C858AA"/>
    <w:rsid w:val="00C85DF1"/>
    <w:rsid w:val="00C9161A"/>
    <w:rsid w:val="00C91DC7"/>
    <w:rsid w:val="00C92595"/>
    <w:rsid w:val="00C93281"/>
    <w:rsid w:val="00C933C3"/>
    <w:rsid w:val="00C9385A"/>
    <w:rsid w:val="00C939D0"/>
    <w:rsid w:val="00C93D57"/>
    <w:rsid w:val="00C93FCE"/>
    <w:rsid w:val="00C941F3"/>
    <w:rsid w:val="00C94546"/>
    <w:rsid w:val="00C94840"/>
    <w:rsid w:val="00C95575"/>
    <w:rsid w:val="00C96F91"/>
    <w:rsid w:val="00C9715C"/>
    <w:rsid w:val="00C9773C"/>
    <w:rsid w:val="00C97AAB"/>
    <w:rsid w:val="00CA0146"/>
    <w:rsid w:val="00CA06EC"/>
    <w:rsid w:val="00CA1604"/>
    <w:rsid w:val="00CA17E7"/>
    <w:rsid w:val="00CA1D05"/>
    <w:rsid w:val="00CA31E2"/>
    <w:rsid w:val="00CA4180"/>
    <w:rsid w:val="00CA491E"/>
    <w:rsid w:val="00CA5AF5"/>
    <w:rsid w:val="00CA5CC8"/>
    <w:rsid w:val="00CA6503"/>
    <w:rsid w:val="00CB078D"/>
    <w:rsid w:val="00CB07D6"/>
    <w:rsid w:val="00CB25DC"/>
    <w:rsid w:val="00CB2FFF"/>
    <w:rsid w:val="00CB31ED"/>
    <w:rsid w:val="00CB5769"/>
    <w:rsid w:val="00CB639E"/>
    <w:rsid w:val="00CB6512"/>
    <w:rsid w:val="00CB6FA5"/>
    <w:rsid w:val="00CB70DE"/>
    <w:rsid w:val="00CB7649"/>
    <w:rsid w:val="00CC0CD8"/>
    <w:rsid w:val="00CC13AC"/>
    <w:rsid w:val="00CC18E6"/>
    <w:rsid w:val="00CC20A3"/>
    <w:rsid w:val="00CC2219"/>
    <w:rsid w:val="00CC2F4C"/>
    <w:rsid w:val="00CC3241"/>
    <w:rsid w:val="00CC4ABB"/>
    <w:rsid w:val="00CC5E2B"/>
    <w:rsid w:val="00CC6544"/>
    <w:rsid w:val="00CC7DCF"/>
    <w:rsid w:val="00CD104D"/>
    <w:rsid w:val="00CD21CF"/>
    <w:rsid w:val="00CD270E"/>
    <w:rsid w:val="00CD3260"/>
    <w:rsid w:val="00CD4A96"/>
    <w:rsid w:val="00CD51C2"/>
    <w:rsid w:val="00CD5481"/>
    <w:rsid w:val="00CD59A2"/>
    <w:rsid w:val="00CD63B9"/>
    <w:rsid w:val="00CD7322"/>
    <w:rsid w:val="00CE3059"/>
    <w:rsid w:val="00CE559D"/>
    <w:rsid w:val="00CE60D4"/>
    <w:rsid w:val="00CE723C"/>
    <w:rsid w:val="00CE746F"/>
    <w:rsid w:val="00CE7FE0"/>
    <w:rsid w:val="00CF1A22"/>
    <w:rsid w:val="00CF1C64"/>
    <w:rsid w:val="00CF1D50"/>
    <w:rsid w:val="00CF286E"/>
    <w:rsid w:val="00CF32DD"/>
    <w:rsid w:val="00CF45FD"/>
    <w:rsid w:val="00CF4C48"/>
    <w:rsid w:val="00CF4F74"/>
    <w:rsid w:val="00CF5197"/>
    <w:rsid w:val="00CF5574"/>
    <w:rsid w:val="00CF6601"/>
    <w:rsid w:val="00CF68BF"/>
    <w:rsid w:val="00CF704C"/>
    <w:rsid w:val="00CF71CF"/>
    <w:rsid w:val="00CF736B"/>
    <w:rsid w:val="00CF7635"/>
    <w:rsid w:val="00D01AFF"/>
    <w:rsid w:val="00D02060"/>
    <w:rsid w:val="00D02223"/>
    <w:rsid w:val="00D027C3"/>
    <w:rsid w:val="00D030B0"/>
    <w:rsid w:val="00D0361B"/>
    <w:rsid w:val="00D05AFC"/>
    <w:rsid w:val="00D05BD3"/>
    <w:rsid w:val="00D05BF9"/>
    <w:rsid w:val="00D0678B"/>
    <w:rsid w:val="00D07709"/>
    <w:rsid w:val="00D10BCD"/>
    <w:rsid w:val="00D11882"/>
    <w:rsid w:val="00D11919"/>
    <w:rsid w:val="00D12B60"/>
    <w:rsid w:val="00D13B51"/>
    <w:rsid w:val="00D13C64"/>
    <w:rsid w:val="00D158C5"/>
    <w:rsid w:val="00D164B7"/>
    <w:rsid w:val="00D17D73"/>
    <w:rsid w:val="00D211A1"/>
    <w:rsid w:val="00D214FB"/>
    <w:rsid w:val="00D2410A"/>
    <w:rsid w:val="00D24DD8"/>
    <w:rsid w:val="00D2509B"/>
    <w:rsid w:val="00D25879"/>
    <w:rsid w:val="00D2608A"/>
    <w:rsid w:val="00D26275"/>
    <w:rsid w:val="00D2695A"/>
    <w:rsid w:val="00D3149F"/>
    <w:rsid w:val="00D3189B"/>
    <w:rsid w:val="00D331B5"/>
    <w:rsid w:val="00D33432"/>
    <w:rsid w:val="00D342DF"/>
    <w:rsid w:val="00D35050"/>
    <w:rsid w:val="00D369C3"/>
    <w:rsid w:val="00D37403"/>
    <w:rsid w:val="00D37419"/>
    <w:rsid w:val="00D41A9D"/>
    <w:rsid w:val="00D41F05"/>
    <w:rsid w:val="00D4291B"/>
    <w:rsid w:val="00D43A0B"/>
    <w:rsid w:val="00D4529D"/>
    <w:rsid w:val="00D4581A"/>
    <w:rsid w:val="00D45E45"/>
    <w:rsid w:val="00D4667B"/>
    <w:rsid w:val="00D473F1"/>
    <w:rsid w:val="00D474D0"/>
    <w:rsid w:val="00D528D5"/>
    <w:rsid w:val="00D5351D"/>
    <w:rsid w:val="00D538B7"/>
    <w:rsid w:val="00D553C1"/>
    <w:rsid w:val="00D55E7F"/>
    <w:rsid w:val="00D55FC6"/>
    <w:rsid w:val="00D5650D"/>
    <w:rsid w:val="00D56EDB"/>
    <w:rsid w:val="00D6027E"/>
    <w:rsid w:val="00D60413"/>
    <w:rsid w:val="00D6279E"/>
    <w:rsid w:val="00D63158"/>
    <w:rsid w:val="00D632AB"/>
    <w:rsid w:val="00D638EE"/>
    <w:rsid w:val="00D66295"/>
    <w:rsid w:val="00D6656D"/>
    <w:rsid w:val="00D7055D"/>
    <w:rsid w:val="00D7194B"/>
    <w:rsid w:val="00D71B9B"/>
    <w:rsid w:val="00D72B26"/>
    <w:rsid w:val="00D733C8"/>
    <w:rsid w:val="00D73BA7"/>
    <w:rsid w:val="00D746DE"/>
    <w:rsid w:val="00D75BE3"/>
    <w:rsid w:val="00D75D43"/>
    <w:rsid w:val="00D766BD"/>
    <w:rsid w:val="00D76F13"/>
    <w:rsid w:val="00D77D93"/>
    <w:rsid w:val="00D80231"/>
    <w:rsid w:val="00D80E99"/>
    <w:rsid w:val="00D8151D"/>
    <w:rsid w:val="00D8278C"/>
    <w:rsid w:val="00D82A2F"/>
    <w:rsid w:val="00D82BD9"/>
    <w:rsid w:val="00D84C84"/>
    <w:rsid w:val="00D84FA5"/>
    <w:rsid w:val="00D857B2"/>
    <w:rsid w:val="00D87EE6"/>
    <w:rsid w:val="00D911E8"/>
    <w:rsid w:val="00D914E5"/>
    <w:rsid w:val="00D92318"/>
    <w:rsid w:val="00D924EB"/>
    <w:rsid w:val="00D92FB6"/>
    <w:rsid w:val="00D94CF8"/>
    <w:rsid w:val="00D95208"/>
    <w:rsid w:val="00D95C40"/>
    <w:rsid w:val="00D962B1"/>
    <w:rsid w:val="00DA0186"/>
    <w:rsid w:val="00DA091D"/>
    <w:rsid w:val="00DA10EB"/>
    <w:rsid w:val="00DA170C"/>
    <w:rsid w:val="00DA1796"/>
    <w:rsid w:val="00DA1932"/>
    <w:rsid w:val="00DA2B87"/>
    <w:rsid w:val="00DA2D6E"/>
    <w:rsid w:val="00DA2F0F"/>
    <w:rsid w:val="00DA351B"/>
    <w:rsid w:val="00DA4F65"/>
    <w:rsid w:val="00DA503B"/>
    <w:rsid w:val="00DA5438"/>
    <w:rsid w:val="00DA66C3"/>
    <w:rsid w:val="00DA72A3"/>
    <w:rsid w:val="00DA72E3"/>
    <w:rsid w:val="00DB0009"/>
    <w:rsid w:val="00DB0C98"/>
    <w:rsid w:val="00DB0D5A"/>
    <w:rsid w:val="00DB19B8"/>
    <w:rsid w:val="00DB30B0"/>
    <w:rsid w:val="00DB3F44"/>
    <w:rsid w:val="00DB40DA"/>
    <w:rsid w:val="00DB43E9"/>
    <w:rsid w:val="00DB5961"/>
    <w:rsid w:val="00DB5996"/>
    <w:rsid w:val="00DB6C75"/>
    <w:rsid w:val="00DB77D0"/>
    <w:rsid w:val="00DB7FC6"/>
    <w:rsid w:val="00DC04B4"/>
    <w:rsid w:val="00DC0A99"/>
    <w:rsid w:val="00DC0B39"/>
    <w:rsid w:val="00DC1C7A"/>
    <w:rsid w:val="00DC20D3"/>
    <w:rsid w:val="00DC20FB"/>
    <w:rsid w:val="00DC2859"/>
    <w:rsid w:val="00DC339B"/>
    <w:rsid w:val="00DC350D"/>
    <w:rsid w:val="00DC3C66"/>
    <w:rsid w:val="00DC456B"/>
    <w:rsid w:val="00DC475C"/>
    <w:rsid w:val="00DC528D"/>
    <w:rsid w:val="00DC537F"/>
    <w:rsid w:val="00DC6463"/>
    <w:rsid w:val="00DC6581"/>
    <w:rsid w:val="00DC69E2"/>
    <w:rsid w:val="00DC7976"/>
    <w:rsid w:val="00DC7FB1"/>
    <w:rsid w:val="00DD0632"/>
    <w:rsid w:val="00DD28CC"/>
    <w:rsid w:val="00DD357B"/>
    <w:rsid w:val="00DD4627"/>
    <w:rsid w:val="00DD4A45"/>
    <w:rsid w:val="00DD4B08"/>
    <w:rsid w:val="00DD5B41"/>
    <w:rsid w:val="00DD64BF"/>
    <w:rsid w:val="00DD66F0"/>
    <w:rsid w:val="00DD6857"/>
    <w:rsid w:val="00DE1073"/>
    <w:rsid w:val="00DE2D76"/>
    <w:rsid w:val="00DE49BC"/>
    <w:rsid w:val="00DE4CDE"/>
    <w:rsid w:val="00DE4D0E"/>
    <w:rsid w:val="00DE592B"/>
    <w:rsid w:val="00DE59F4"/>
    <w:rsid w:val="00DE5B64"/>
    <w:rsid w:val="00DE615A"/>
    <w:rsid w:val="00DE7651"/>
    <w:rsid w:val="00DF00F5"/>
    <w:rsid w:val="00DF0CA5"/>
    <w:rsid w:val="00DF1F5A"/>
    <w:rsid w:val="00DF2233"/>
    <w:rsid w:val="00DF6603"/>
    <w:rsid w:val="00DF6AE8"/>
    <w:rsid w:val="00DF6EFD"/>
    <w:rsid w:val="00DF7FE7"/>
    <w:rsid w:val="00E006D8"/>
    <w:rsid w:val="00E00A88"/>
    <w:rsid w:val="00E0255A"/>
    <w:rsid w:val="00E0365D"/>
    <w:rsid w:val="00E03DC7"/>
    <w:rsid w:val="00E03E0F"/>
    <w:rsid w:val="00E04986"/>
    <w:rsid w:val="00E106EC"/>
    <w:rsid w:val="00E1143E"/>
    <w:rsid w:val="00E11ACD"/>
    <w:rsid w:val="00E11B05"/>
    <w:rsid w:val="00E1402A"/>
    <w:rsid w:val="00E15010"/>
    <w:rsid w:val="00E1600F"/>
    <w:rsid w:val="00E16147"/>
    <w:rsid w:val="00E1693D"/>
    <w:rsid w:val="00E1724C"/>
    <w:rsid w:val="00E20305"/>
    <w:rsid w:val="00E208C3"/>
    <w:rsid w:val="00E20B84"/>
    <w:rsid w:val="00E20EF2"/>
    <w:rsid w:val="00E2103D"/>
    <w:rsid w:val="00E2279A"/>
    <w:rsid w:val="00E22C4B"/>
    <w:rsid w:val="00E22F4B"/>
    <w:rsid w:val="00E2581E"/>
    <w:rsid w:val="00E259AD"/>
    <w:rsid w:val="00E2610B"/>
    <w:rsid w:val="00E26688"/>
    <w:rsid w:val="00E26695"/>
    <w:rsid w:val="00E27844"/>
    <w:rsid w:val="00E27E22"/>
    <w:rsid w:val="00E3075E"/>
    <w:rsid w:val="00E31B31"/>
    <w:rsid w:val="00E32553"/>
    <w:rsid w:val="00E33300"/>
    <w:rsid w:val="00E34E96"/>
    <w:rsid w:val="00E35013"/>
    <w:rsid w:val="00E3579F"/>
    <w:rsid w:val="00E35C3D"/>
    <w:rsid w:val="00E35FE8"/>
    <w:rsid w:val="00E36899"/>
    <w:rsid w:val="00E36C03"/>
    <w:rsid w:val="00E36E78"/>
    <w:rsid w:val="00E36F9E"/>
    <w:rsid w:val="00E40437"/>
    <w:rsid w:val="00E408FC"/>
    <w:rsid w:val="00E41E8D"/>
    <w:rsid w:val="00E424B9"/>
    <w:rsid w:val="00E43726"/>
    <w:rsid w:val="00E4614A"/>
    <w:rsid w:val="00E465D5"/>
    <w:rsid w:val="00E46DEC"/>
    <w:rsid w:val="00E46FB9"/>
    <w:rsid w:val="00E500CF"/>
    <w:rsid w:val="00E505B4"/>
    <w:rsid w:val="00E50C31"/>
    <w:rsid w:val="00E50C34"/>
    <w:rsid w:val="00E513D1"/>
    <w:rsid w:val="00E513DA"/>
    <w:rsid w:val="00E52ADF"/>
    <w:rsid w:val="00E53714"/>
    <w:rsid w:val="00E54470"/>
    <w:rsid w:val="00E54DAA"/>
    <w:rsid w:val="00E553C4"/>
    <w:rsid w:val="00E557C9"/>
    <w:rsid w:val="00E55A30"/>
    <w:rsid w:val="00E5674E"/>
    <w:rsid w:val="00E60AE3"/>
    <w:rsid w:val="00E60DCE"/>
    <w:rsid w:val="00E61188"/>
    <w:rsid w:val="00E61704"/>
    <w:rsid w:val="00E61C19"/>
    <w:rsid w:val="00E61C2F"/>
    <w:rsid w:val="00E632B8"/>
    <w:rsid w:val="00E638D7"/>
    <w:rsid w:val="00E64851"/>
    <w:rsid w:val="00E6499A"/>
    <w:rsid w:val="00E64DF1"/>
    <w:rsid w:val="00E64F53"/>
    <w:rsid w:val="00E650D9"/>
    <w:rsid w:val="00E65F4D"/>
    <w:rsid w:val="00E67942"/>
    <w:rsid w:val="00E704C4"/>
    <w:rsid w:val="00E706FA"/>
    <w:rsid w:val="00E7127A"/>
    <w:rsid w:val="00E723A1"/>
    <w:rsid w:val="00E723C9"/>
    <w:rsid w:val="00E732B9"/>
    <w:rsid w:val="00E73594"/>
    <w:rsid w:val="00E754DD"/>
    <w:rsid w:val="00E759CB"/>
    <w:rsid w:val="00E76F79"/>
    <w:rsid w:val="00E804B3"/>
    <w:rsid w:val="00E81120"/>
    <w:rsid w:val="00E82820"/>
    <w:rsid w:val="00E830BD"/>
    <w:rsid w:val="00E83DDC"/>
    <w:rsid w:val="00E84694"/>
    <w:rsid w:val="00E8497B"/>
    <w:rsid w:val="00E86588"/>
    <w:rsid w:val="00E86D06"/>
    <w:rsid w:val="00E87735"/>
    <w:rsid w:val="00E87F31"/>
    <w:rsid w:val="00E909D4"/>
    <w:rsid w:val="00E91FC4"/>
    <w:rsid w:val="00E92604"/>
    <w:rsid w:val="00E929C5"/>
    <w:rsid w:val="00E9355F"/>
    <w:rsid w:val="00E93696"/>
    <w:rsid w:val="00E9461D"/>
    <w:rsid w:val="00E956CC"/>
    <w:rsid w:val="00E95755"/>
    <w:rsid w:val="00E97BAE"/>
    <w:rsid w:val="00EA1550"/>
    <w:rsid w:val="00EA1957"/>
    <w:rsid w:val="00EA207B"/>
    <w:rsid w:val="00EA23ED"/>
    <w:rsid w:val="00EA38C3"/>
    <w:rsid w:val="00EA484C"/>
    <w:rsid w:val="00EA5591"/>
    <w:rsid w:val="00EA5676"/>
    <w:rsid w:val="00EA66F7"/>
    <w:rsid w:val="00EA6D83"/>
    <w:rsid w:val="00EA768B"/>
    <w:rsid w:val="00EA7A16"/>
    <w:rsid w:val="00EB0BD0"/>
    <w:rsid w:val="00EB0E21"/>
    <w:rsid w:val="00EB1A77"/>
    <w:rsid w:val="00EB2A91"/>
    <w:rsid w:val="00EB3A2A"/>
    <w:rsid w:val="00EB3C67"/>
    <w:rsid w:val="00EB3F58"/>
    <w:rsid w:val="00EB470D"/>
    <w:rsid w:val="00EB52A4"/>
    <w:rsid w:val="00EB6789"/>
    <w:rsid w:val="00EB686C"/>
    <w:rsid w:val="00EB7079"/>
    <w:rsid w:val="00EC0A02"/>
    <w:rsid w:val="00EC1101"/>
    <w:rsid w:val="00EC21FF"/>
    <w:rsid w:val="00EC62BD"/>
    <w:rsid w:val="00EC7A49"/>
    <w:rsid w:val="00EC7DD0"/>
    <w:rsid w:val="00ED04DE"/>
    <w:rsid w:val="00ED1600"/>
    <w:rsid w:val="00ED3767"/>
    <w:rsid w:val="00ED40FC"/>
    <w:rsid w:val="00ED4B86"/>
    <w:rsid w:val="00ED54F2"/>
    <w:rsid w:val="00ED5C4E"/>
    <w:rsid w:val="00ED6160"/>
    <w:rsid w:val="00ED6694"/>
    <w:rsid w:val="00ED69AA"/>
    <w:rsid w:val="00ED7162"/>
    <w:rsid w:val="00ED71E2"/>
    <w:rsid w:val="00EE00AB"/>
    <w:rsid w:val="00EE022B"/>
    <w:rsid w:val="00EE0BB9"/>
    <w:rsid w:val="00EE0DB9"/>
    <w:rsid w:val="00EE282A"/>
    <w:rsid w:val="00EE2EFB"/>
    <w:rsid w:val="00EE3AF4"/>
    <w:rsid w:val="00EE3ECD"/>
    <w:rsid w:val="00EE3F0E"/>
    <w:rsid w:val="00EE3F5C"/>
    <w:rsid w:val="00EE5CB7"/>
    <w:rsid w:val="00EE5CD7"/>
    <w:rsid w:val="00EE5DC5"/>
    <w:rsid w:val="00EF1F5E"/>
    <w:rsid w:val="00EF2607"/>
    <w:rsid w:val="00EF39B3"/>
    <w:rsid w:val="00EF53BB"/>
    <w:rsid w:val="00EF557A"/>
    <w:rsid w:val="00EF6B84"/>
    <w:rsid w:val="00EF7883"/>
    <w:rsid w:val="00F00E96"/>
    <w:rsid w:val="00F03575"/>
    <w:rsid w:val="00F036C7"/>
    <w:rsid w:val="00F0376F"/>
    <w:rsid w:val="00F03E59"/>
    <w:rsid w:val="00F05481"/>
    <w:rsid w:val="00F06166"/>
    <w:rsid w:val="00F06204"/>
    <w:rsid w:val="00F1003A"/>
    <w:rsid w:val="00F120E5"/>
    <w:rsid w:val="00F1379D"/>
    <w:rsid w:val="00F15055"/>
    <w:rsid w:val="00F17545"/>
    <w:rsid w:val="00F200E7"/>
    <w:rsid w:val="00F208E0"/>
    <w:rsid w:val="00F21F41"/>
    <w:rsid w:val="00F21FF0"/>
    <w:rsid w:val="00F2207E"/>
    <w:rsid w:val="00F222E5"/>
    <w:rsid w:val="00F226B6"/>
    <w:rsid w:val="00F24252"/>
    <w:rsid w:val="00F24AE5"/>
    <w:rsid w:val="00F24F79"/>
    <w:rsid w:val="00F25185"/>
    <w:rsid w:val="00F272DD"/>
    <w:rsid w:val="00F30B72"/>
    <w:rsid w:val="00F32ACE"/>
    <w:rsid w:val="00F32B0E"/>
    <w:rsid w:val="00F33394"/>
    <w:rsid w:val="00F33416"/>
    <w:rsid w:val="00F33FEE"/>
    <w:rsid w:val="00F3430D"/>
    <w:rsid w:val="00F3663F"/>
    <w:rsid w:val="00F37917"/>
    <w:rsid w:val="00F37935"/>
    <w:rsid w:val="00F428FF"/>
    <w:rsid w:val="00F42DB7"/>
    <w:rsid w:val="00F43178"/>
    <w:rsid w:val="00F4446D"/>
    <w:rsid w:val="00F45045"/>
    <w:rsid w:val="00F4525C"/>
    <w:rsid w:val="00F454A1"/>
    <w:rsid w:val="00F45779"/>
    <w:rsid w:val="00F471BE"/>
    <w:rsid w:val="00F472CF"/>
    <w:rsid w:val="00F47E6E"/>
    <w:rsid w:val="00F50396"/>
    <w:rsid w:val="00F536E1"/>
    <w:rsid w:val="00F541AC"/>
    <w:rsid w:val="00F542E5"/>
    <w:rsid w:val="00F54C92"/>
    <w:rsid w:val="00F5666F"/>
    <w:rsid w:val="00F569D6"/>
    <w:rsid w:val="00F572A4"/>
    <w:rsid w:val="00F617CC"/>
    <w:rsid w:val="00F6213A"/>
    <w:rsid w:val="00F62284"/>
    <w:rsid w:val="00F62D44"/>
    <w:rsid w:val="00F6332A"/>
    <w:rsid w:val="00F633E3"/>
    <w:rsid w:val="00F6452F"/>
    <w:rsid w:val="00F65367"/>
    <w:rsid w:val="00F65873"/>
    <w:rsid w:val="00F67013"/>
    <w:rsid w:val="00F67248"/>
    <w:rsid w:val="00F6726A"/>
    <w:rsid w:val="00F700AE"/>
    <w:rsid w:val="00F70E9E"/>
    <w:rsid w:val="00F717F6"/>
    <w:rsid w:val="00F72C48"/>
    <w:rsid w:val="00F735ED"/>
    <w:rsid w:val="00F75B3B"/>
    <w:rsid w:val="00F769FA"/>
    <w:rsid w:val="00F800E6"/>
    <w:rsid w:val="00F8044A"/>
    <w:rsid w:val="00F806E2"/>
    <w:rsid w:val="00F809F2"/>
    <w:rsid w:val="00F80C8E"/>
    <w:rsid w:val="00F8137A"/>
    <w:rsid w:val="00F81B88"/>
    <w:rsid w:val="00F82353"/>
    <w:rsid w:val="00F826DD"/>
    <w:rsid w:val="00F82F63"/>
    <w:rsid w:val="00F84BAA"/>
    <w:rsid w:val="00F85427"/>
    <w:rsid w:val="00F85509"/>
    <w:rsid w:val="00F857B6"/>
    <w:rsid w:val="00F85EE1"/>
    <w:rsid w:val="00F86C58"/>
    <w:rsid w:val="00F86D2D"/>
    <w:rsid w:val="00F86E33"/>
    <w:rsid w:val="00F86ECA"/>
    <w:rsid w:val="00F87BA3"/>
    <w:rsid w:val="00F908F9"/>
    <w:rsid w:val="00F90D8A"/>
    <w:rsid w:val="00F90F71"/>
    <w:rsid w:val="00F91121"/>
    <w:rsid w:val="00F91BCD"/>
    <w:rsid w:val="00F92CDF"/>
    <w:rsid w:val="00F93388"/>
    <w:rsid w:val="00F93D05"/>
    <w:rsid w:val="00F93E74"/>
    <w:rsid w:val="00F93F8F"/>
    <w:rsid w:val="00F94012"/>
    <w:rsid w:val="00F95EF3"/>
    <w:rsid w:val="00FA05F3"/>
    <w:rsid w:val="00FA28BB"/>
    <w:rsid w:val="00FA2BAD"/>
    <w:rsid w:val="00FA2D00"/>
    <w:rsid w:val="00FA2ED5"/>
    <w:rsid w:val="00FA3255"/>
    <w:rsid w:val="00FA333C"/>
    <w:rsid w:val="00FA338F"/>
    <w:rsid w:val="00FA3913"/>
    <w:rsid w:val="00FA39D5"/>
    <w:rsid w:val="00FA3AB3"/>
    <w:rsid w:val="00FA4853"/>
    <w:rsid w:val="00FA4CE5"/>
    <w:rsid w:val="00FA5C7E"/>
    <w:rsid w:val="00FA69D2"/>
    <w:rsid w:val="00FA72EA"/>
    <w:rsid w:val="00FA7E7D"/>
    <w:rsid w:val="00FB0D9B"/>
    <w:rsid w:val="00FB0E54"/>
    <w:rsid w:val="00FB31E1"/>
    <w:rsid w:val="00FB3524"/>
    <w:rsid w:val="00FB3FB9"/>
    <w:rsid w:val="00FB4C3C"/>
    <w:rsid w:val="00FB51A6"/>
    <w:rsid w:val="00FB526D"/>
    <w:rsid w:val="00FB6095"/>
    <w:rsid w:val="00FB6928"/>
    <w:rsid w:val="00FB6994"/>
    <w:rsid w:val="00FB6A5C"/>
    <w:rsid w:val="00FB6C44"/>
    <w:rsid w:val="00FC10D6"/>
    <w:rsid w:val="00FC1D3C"/>
    <w:rsid w:val="00FC1EBC"/>
    <w:rsid w:val="00FC28F0"/>
    <w:rsid w:val="00FC3695"/>
    <w:rsid w:val="00FC3AA1"/>
    <w:rsid w:val="00FC51F3"/>
    <w:rsid w:val="00FC7A08"/>
    <w:rsid w:val="00FD02A9"/>
    <w:rsid w:val="00FD13CC"/>
    <w:rsid w:val="00FD1878"/>
    <w:rsid w:val="00FD2E8C"/>
    <w:rsid w:val="00FD317A"/>
    <w:rsid w:val="00FD381D"/>
    <w:rsid w:val="00FD47F2"/>
    <w:rsid w:val="00FD4FFF"/>
    <w:rsid w:val="00FD50FA"/>
    <w:rsid w:val="00FD6939"/>
    <w:rsid w:val="00FD6B38"/>
    <w:rsid w:val="00FD752C"/>
    <w:rsid w:val="00FD7C11"/>
    <w:rsid w:val="00FE0D7C"/>
    <w:rsid w:val="00FE1775"/>
    <w:rsid w:val="00FE3FB0"/>
    <w:rsid w:val="00FE4760"/>
    <w:rsid w:val="00FE50E0"/>
    <w:rsid w:val="00FE549E"/>
    <w:rsid w:val="00FE6320"/>
    <w:rsid w:val="00FE654C"/>
    <w:rsid w:val="00FE6DB7"/>
    <w:rsid w:val="00FF12B1"/>
    <w:rsid w:val="00FF1D20"/>
    <w:rsid w:val="00FF28C8"/>
    <w:rsid w:val="00FF317E"/>
    <w:rsid w:val="00FF5125"/>
    <w:rsid w:val="00FF570D"/>
    <w:rsid w:val="00FF5904"/>
    <w:rsid w:val="00FF5A71"/>
    <w:rsid w:val="00FF6905"/>
    <w:rsid w:val="00FF70E5"/>
    <w:rsid w:val="00FF7890"/>
    <w:rsid w:val="01E91DDA"/>
    <w:rsid w:val="02814D79"/>
    <w:rsid w:val="029733CA"/>
    <w:rsid w:val="02A14FB2"/>
    <w:rsid w:val="02B2108D"/>
    <w:rsid w:val="035F0A01"/>
    <w:rsid w:val="04056417"/>
    <w:rsid w:val="053A3164"/>
    <w:rsid w:val="055F34A9"/>
    <w:rsid w:val="06867B04"/>
    <w:rsid w:val="069362D2"/>
    <w:rsid w:val="06DA5346"/>
    <w:rsid w:val="06E65352"/>
    <w:rsid w:val="077130C1"/>
    <w:rsid w:val="07736C2C"/>
    <w:rsid w:val="080072E8"/>
    <w:rsid w:val="089719D2"/>
    <w:rsid w:val="08D13DE0"/>
    <w:rsid w:val="08D430AA"/>
    <w:rsid w:val="08F5187C"/>
    <w:rsid w:val="0901026C"/>
    <w:rsid w:val="09293C4A"/>
    <w:rsid w:val="099B5350"/>
    <w:rsid w:val="09AF0582"/>
    <w:rsid w:val="0B4A4998"/>
    <w:rsid w:val="0BAB50EA"/>
    <w:rsid w:val="0C1E0214"/>
    <w:rsid w:val="0C463D95"/>
    <w:rsid w:val="0CE6557B"/>
    <w:rsid w:val="0D811BCF"/>
    <w:rsid w:val="0E045AD2"/>
    <w:rsid w:val="0E1D16EA"/>
    <w:rsid w:val="0F397D05"/>
    <w:rsid w:val="0FBB5EB4"/>
    <w:rsid w:val="0FBE504B"/>
    <w:rsid w:val="10BA05B4"/>
    <w:rsid w:val="12547AFC"/>
    <w:rsid w:val="126E1CC4"/>
    <w:rsid w:val="13341E24"/>
    <w:rsid w:val="133A2B6A"/>
    <w:rsid w:val="13914F28"/>
    <w:rsid w:val="13F022B3"/>
    <w:rsid w:val="13F24693"/>
    <w:rsid w:val="14403B42"/>
    <w:rsid w:val="146E4F80"/>
    <w:rsid w:val="151C5CFC"/>
    <w:rsid w:val="15C772BA"/>
    <w:rsid w:val="16E64EFA"/>
    <w:rsid w:val="17DF82C4"/>
    <w:rsid w:val="185849D9"/>
    <w:rsid w:val="18D465D9"/>
    <w:rsid w:val="191B793B"/>
    <w:rsid w:val="193E06C1"/>
    <w:rsid w:val="196D36B1"/>
    <w:rsid w:val="1A411941"/>
    <w:rsid w:val="1B2317B4"/>
    <w:rsid w:val="1B2C59D6"/>
    <w:rsid w:val="1B590390"/>
    <w:rsid w:val="1B9711D5"/>
    <w:rsid w:val="1BAB24BB"/>
    <w:rsid w:val="1CB06015"/>
    <w:rsid w:val="1CE44C33"/>
    <w:rsid w:val="1DBB4FD6"/>
    <w:rsid w:val="1EE054C5"/>
    <w:rsid w:val="1F1F4EBD"/>
    <w:rsid w:val="1F210BA0"/>
    <w:rsid w:val="1F3C7DAD"/>
    <w:rsid w:val="20681BE1"/>
    <w:rsid w:val="20C77B4A"/>
    <w:rsid w:val="213C38C9"/>
    <w:rsid w:val="215D7884"/>
    <w:rsid w:val="216429E1"/>
    <w:rsid w:val="21994D47"/>
    <w:rsid w:val="221C6150"/>
    <w:rsid w:val="225E5B96"/>
    <w:rsid w:val="22675425"/>
    <w:rsid w:val="22787D1F"/>
    <w:rsid w:val="227B5C61"/>
    <w:rsid w:val="22B64A53"/>
    <w:rsid w:val="22EF7B11"/>
    <w:rsid w:val="23957B16"/>
    <w:rsid w:val="23FE066E"/>
    <w:rsid w:val="24461A11"/>
    <w:rsid w:val="24961B35"/>
    <w:rsid w:val="24D35C2C"/>
    <w:rsid w:val="252A2BE3"/>
    <w:rsid w:val="25DA5423"/>
    <w:rsid w:val="2662292F"/>
    <w:rsid w:val="26A80A8B"/>
    <w:rsid w:val="28416434"/>
    <w:rsid w:val="292E01A8"/>
    <w:rsid w:val="29335614"/>
    <w:rsid w:val="2A620CCA"/>
    <w:rsid w:val="2AA002DE"/>
    <w:rsid w:val="2B593504"/>
    <w:rsid w:val="2B6D1D51"/>
    <w:rsid w:val="2C52174F"/>
    <w:rsid w:val="2C972AC7"/>
    <w:rsid w:val="2C9D6204"/>
    <w:rsid w:val="2D9026BC"/>
    <w:rsid w:val="2DCB1F72"/>
    <w:rsid w:val="2DD70846"/>
    <w:rsid w:val="2E6C5148"/>
    <w:rsid w:val="2E6D4F36"/>
    <w:rsid w:val="2EBF4EAD"/>
    <w:rsid w:val="2F8748C2"/>
    <w:rsid w:val="2FCB0504"/>
    <w:rsid w:val="3013735D"/>
    <w:rsid w:val="30207C34"/>
    <w:rsid w:val="30D003BD"/>
    <w:rsid w:val="30E57695"/>
    <w:rsid w:val="3131189D"/>
    <w:rsid w:val="31532D34"/>
    <w:rsid w:val="326C5B7C"/>
    <w:rsid w:val="32CE66A7"/>
    <w:rsid w:val="3365675D"/>
    <w:rsid w:val="34737C42"/>
    <w:rsid w:val="349C69DF"/>
    <w:rsid w:val="34FD5803"/>
    <w:rsid w:val="35226F83"/>
    <w:rsid w:val="356F6002"/>
    <w:rsid w:val="358828D9"/>
    <w:rsid w:val="35B516AA"/>
    <w:rsid w:val="365C45C2"/>
    <w:rsid w:val="36DD6556"/>
    <w:rsid w:val="3794190B"/>
    <w:rsid w:val="37B3BC86"/>
    <w:rsid w:val="37F30DCD"/>
    <w:rsid w:val="38390ED6"/>
    <w:rsid w:val="38420FFB"/>
    <w:rsid w:val="38C81AAD"/>
    <w:rsid w:val="38CE1A49"/>
    <w:rsid w:val="38F44A55"/>
    <w:rsid w:val="3A9B5311"/>
    <w:rsid w:val="3BBD700F"/>
    <w:rsid w:val="3BDC42DE"/>
    <w:rsid w:val="3BDDA7C8"/>
    <w:rsid w:val="3CD75875"/>
    <w:rsid w:val="3D060372"/>
    <w:rsid w:val="3D476E8F"/>
    <w:rsid w:val="3E4218F8"/>
    <w:rsid w:val="3E841524"/>
    <w:rsid w:val="3ECC77EF"/>
    <w:rsid w:val="3EFFCEA7"/>
    <w:rsid w:val="3F100E11"/>
    <w:rsid w:val="4012098A"/>
    <w:rsid w:val="40884E1D"/>
    <w:rsid w:val="41D30A5F"/>
    <w:rsid w:val="4205007B"/>
    <w:rsid w:val="430F2628"/>
    <w:rsid w:val="43243B30"/>
    <w:rsid w:val="435B2648"/>
    <w:rsid w:val="44550A36"/>
    <w:rsid w:val="44A83877"/>
    <w:rsid w:val="46B04B54"/>
    <w:rsid w:val="46F12B18"/>
    <w:rsid w:val="479750BD"/>
    <w:rsid w:val="4815134F"/>
    <w:rsid w:val="481A5AAE"/>
    <w:rsid w:val="48710D0A"/>
    <w:rsid w:val="48A20732"/>
    <w:rsid w:val="49907A6D"/>
    <w:rsid w:val="49973CAE"/>
    <w:rsid w:val="4A8749A4"/>
    <w:rsid w:val="4B2F458C"/>
    <w:rsid w:val="4B5F4C38"/>
    <w:rsid w:val="4C0C35F4"/>
    <w:rsid w:val="4C107D48"/>
    <w:rsid w:val="4C9A7699"/>
    <w:rsid w:val="4D0016DE"/>
    <w:rsid w:val="4D16358E"/>
    <w:rsid w:val="4D4B60FE"/>
    <w:rsid w:val="4D97315B"/>
    <w:rsid w:val="4DD12834"/>
    <w:rsid w:val="4DF632D5"/>
    <w:rsid w:val="4E172040"/>
    <w:rsid w:val="4E7D4DD8"/>
    <w:rsid w:val="4EB70E5B"/>
    <w:rsid w:val="4F070F54"/>
    <w:rsid w:val="4F6378B1"/>
    <w:rsid w:val="4FAF6B71"/>
    <w:rsid w:val="4FD92A26"/>
    <w:rsid w:val="50193FF8"/>
    <w:rsid w:val="50306FAF"/>
    <w:rsid w:val="50797087"/>
    <w:rsid w:val="50A45C19"/>
    <w:rsid w:val="50D03C69"/>
    <w:rsid w:val="5114401B"/>
    <w:rsid w:val="51620E80"/>
    <w:rsid w:val="51F16C25"/>
    <w:rsid w:val="52C45360"/>
    <w:rsid w:val="53D6269A"/>
    <w:rsid w:val="54090C13"/>
    <w:rsid w:val="54C9211E"/>
    <w:rsid w:val="55C0458D"/>
    <w:rsid w:val="55EF197B"/>
    <w:rsid w:val="565E1AAD"/>
    <w:rsid w:val="56CB441E"/>
    <w:rsid w:val="56F41F87"/>
    <w:rsid w:val="56F55B83"/>
    <w:rsid w:val="573C5E95"/>
    <w:rsid w:val="57C234FB"/>
    <w:rsid w:val="57C50B22"/>
    <w:rsid w:val="58242BB1"/>
    <w:rsid w:val="59AB56CA"/>
    <w:rsid w:val="59EB645C"/>
    <w:rsid w:val="5A3E40AC"/>
    <w:rsid w:val="5A52775D"/>
    <w:rsid w:val="5A8A0D47"/>
    <w:rsid w:val="5B590C77"/>
    <w:rsid w:val="5B8D607F"/>
    <w:rsid w:val="5CF06E50"/>
    <w:rsid w:val="5D7C21BE"/>
    <w:rsid w:val="5DDF82F6"/>
    <w:rsid w:val="5DF936EB"/>
    <w:rsid w:val="5E702CBB"/>
    <w:rsid w:val="5EBC5994"/>
    <w:rsid w:val="5FB024F2"/>
    <w:rsid w:val="5FF91954"/>
    <w:rsid w:val="60052777"/>
    <w:rsid w:val="60361F30"/>
    <w:rsid w:val="60926B5E"/>
    <w:rsid w:val="61C060D2"/>
    <w:rsid w:val="62713AAD"/>
    <w:rsid w:val="62E93375"/>
    <w:rsid w:val="634A1B87"/>
    <w:rsid w:val="63F668A7"/>
    <w:rsid w:val="64872E45"/>
    <w:rsid w:val="653149E5"/>
    <w:rsid w:val="6533693C"/>
    <w:rsid w:val="65F93EBD"/>
    <w:rsid w:val="66E9503A"/>
    <w:rsid w:val="66F4506E"/>
    <w:rsid w:val="672043B5"/>
    <w:rsid w:val="674B1DDA"/>
    <w:rsid w:val="67620817"/>
    <w:rsid w:val="67C24A05"/>
    <w:rsid w:val="67E57B82"/>
    <w:rsid w:val="68587483"/>
    <w:rsid w:val="68F0671A"/>
    <w:rsid w:val="696279DD"/>
    <w:rsid w:val="6A2B3825"/>
    <w:rsid w:val="6A911354"/>
    <w:rsid w:val="6A9C3D35"/>
    <w:rsid w:val="6B532B05"/>
    <w:rsid w:val="6BF84629"/>
    <w:rsid w:val="6C2E052B"/>
    <w:rsid w:val="6DFC3C36"/>
    <w:rsid w:val="6EF626B6"/>
    <w:rsid w:val="6EFFA115"/>
    <w:rsid w:val="6F3F111D"/>
    <w:rsid w:val="6F7C6101"/>
    <w:rsid w:val="6F8001BF"/>
    <w:rsid w:val="6F89709A"/>
    <w:rsid w:val="6FAF1B44"/>
    <w:rsid w:val="6FDE7DD6"/>
    <w:rsid w:val="6FE0315E"/>
    <w:rsid w:val="70385063"/>
    <w:rsid w:val="706140C2"/>
    <w:rsid w:val="708556E3"/>
    <w:rsid w:val="70A16F24"/>
    <w:rsid w:val="711C5DC8"/>
    <w:rsid w:val="714B1E7B"/>
    <w:rsid w:val="71F54ECC"/>
    <w:rsid w:val="71FE04BF"/>
    <w:rsid w:val="72501986"/>
    <w:rsid w:val="72C96E2E"/>
    <w:rsid w:val="72D70F76"/>
    <w:rsid w:val="74572501"/>
    <w:rsid w:val="750705C0"/>
    <w:rsid w:val="75250BEE"/>
    <w:rsid w:val="75E31053"/>
    <w:rsid w:val="75FA5A68"/>
    <w:rsid w:val="765236CA"/>
    <w:rsid w:val="76560F0E"/>
    <w:rsid w:val="76D0242A"/>
    <w:rsid w:val="76FF6B17"/>
    <w:rsid w:val="77182123"/>
    <w:rsid w:val="77BF423C"/>
    <w:rsid w:val="77F61080"/>
    <w:rsid w:val="78025CF9"/>
    <w:rsid w:val="78EA22C7"/>
    <w:rsid w:val="79764198"/>
    <w:rsid w:val="798D6FBB"/>
    <w:rsid w:val="7A4F3436"/>
    <w:rsid w:val="7AA8164D"/>
    <w:rsid w:val="7AF7277C"/>
    <w:rsid w:val="7B627220"/>
    <w:rsid w:val="7B983E0B"/>
    <w:rsid w:val="7D9037FD"/>
    <w:rsid w:val="7DAE7704"/>
    <w:rsid w:val="7DF446EF"/>
    <w:rsid w:val="7F0D7F93"/>
    <w:rsid w:val="7F445712"/>
    <w:rsid w:val="7F7D59C0"/>
    <w:rsid w:val="7F7F52BA"/>
    <w:rsid w:val="7FAE073D"/>
    <w:rsid w:val="7FC04F18"/>
    <w:rsid w:val="7FD16CFA"/>
    <w:rsid w:val="7FEEEBA3"/>
    <w:rsid w:val="7FFDD074"/>
    <w:rsid w:val="8A8F8333"/>
    <w:rsid w:val="AF3BC1E9"/>
    <w:rsid w:val="B6FDBEB6"/>
    <w:rsid w:val="B77A25EF"/>
    <w:rsid w:val="B77F4D7A"/>
    <w:rsid w:val="BA7F09E1"/>
    <w:rsid w:val="BFF30932"/>
    <w:rsid w:val="CFFF1590"/>
    <w:rsid w:val="D93E4437"/>
    <w:rsid w:val="DF8E5334"/>
    <w:rsid w:val="DF95097B"/>
    <w:rsid w:val="EDF3D75E"/>
    <w:rsid w:val="FEDF4452"/>
    <w:rsid w:val="FFDEC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link w:val="64"/>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1"/>
    <w:next w:val="1"/>
    <w:link w:val="42"/>
    <w:qFormat/>
    <w:uiPriority w:val="9"/>
    <w:pPr>
      <w:keepNext/>
      <w:keepLines/>
      <w:spacing w:before="260" w:after="260" w:line="416" w:lineRule="auto"/>
      <w:outlineLvl w:val="2"/>
    </w:pPr>
    <w:rPr>
      <w:b/>
      <w:bCs/>
      <w:sz w:val="32"/>
      <w:szCs w:val="32"/>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5"/>
    <w:qFormat/>
    <w:uiPriority w:val="0"/>
    <w:pPr>
      <w:spacing w:after="120"/>
    </w:pPr>
    <w:rPr>
      <w:kern w:val="0"/>
      <w:sz w:val="20"/>
      <w:szCs w:val="22"/>
    </w:rPr>
  </w:style>
  <w:style w:type="paragraph" w:styleId="6">
    <w:name w:val="toc 7"/>
    <w:basedOn w:val="1"/>
    <w:next w:val="1"/>
    <w:qFormat/>
    <w:uiPriority w:val="0"/>
    <w:pPr>
      <w:ind w:left="1260"/>
      <w:jc w:val="left"/>
    </w:pPr>
    <w:rPr>
      <w:sz w:val="18"/>
      <w:szCs w:val="18"/>
    </w:rPr>
  </w:style>
  <w:style w:type="paragraph" w:styleId="7">
    <w:name w:val="Normal Indent"/>
    <w:basedOn w:val="1"/>
    <w:link w:val="61"/>
    <w:qFormat/>
    <w:uiPriority w:val="0"/>
    <w:pPr>
      <w:ind w:firstLine="420" w:firstLineChars="200"/>
    </w:pPr>
    <w:rPr>
      <w:sz w:val="24"/>
      <w:lang w:val="zh-CN"/>
    </w:rPr>
  </w:style>
  <w:style w:type="paragraph" w:styleId="8">
    <w:name w:val="Document Map"/>
    <w:basedOn w:val="1"/>
    <w:link w:val="70"/>
    <w:qFormat/>
    <w:uiPriority w:val="0"/>
    <w:pPr>
      <w:shd w:val="clear" w:color="auto" w:fill="000080"/>
    </w:pPr>
    <w:rPr>
      <w:lang w:val="zh-CN"/>
    </w:rPr>
  </w:style>
  <w:style w:type="paragraph" w:styleId="9">
    <w:name w:val="annotation text"/>
    <w:basedOn w:val="1"/>
    <w:link w:val="59"/>
    <w:qFormat/>
    <w:uiPriority w:val="0"/>
    <w:pPr>
      <w:jc w:val="left"/>
    </w:pPr>
    <w:rPr>
      <w:kern w:val="0"/>
      <w:sz w:val="20"/>
      <w:lang w:val="zh-CN"/>
    </w:rPr>
  </w:style>
  <w:style w:type="paragraph" w:styleId="10">
    <w:name w:val="Body Text Indent"/>
    <w:basedOn w:val="1"/>
    <w:unhideWhenUsed/>
    <w:qFormat/>
    <w:uiPriority w:val="0"/>
    <w:pPr>
      <w:spacing w:after="120"/>
      <w:ind w:left="420" w:leftChars="200"/>
    </w:pPr>
  </w:style>
  <w:style w:type="paragraph" w:styleId="11">
    <w:name w:val="List 2"/>
    <w:basedOn w:val="1"/>
    <w:qFormat/>
    <w:uiPriority w:val="0"/>
    <w:pPr>
      <w:spacing w:beforeLines="50" w:afterLines="50"/>
      <w:ind w:left="840" w:hanging="420" w:firstLineChars="200"/>
    </w:pPr>
    <w:rPr>
      <w:rFonts w:ascii="Book Antiqua" w:hAnsi="Book Antiqua"/>
      <w:sz w:val="24"/>
    </w:rPr>
  </w:style>
  <w:style w:type="paragraph" w:styleId="12">
    <w:name w:val="toc 5"/>
    <w:basedOn w:val="1"/>
    <w:next w:val="1"/>
    <w:qFormat/>
    <w:uiPriority w:val="0"/>
    <w:pPr>
      <w:ind w:left="840"/>
      <w:jc w:val="left"/>
    </w:pPr>
    <w:rPr>
      <w:sz w:val="18"/>
      <w:szCs w:val="18"/>
    </w:rPr>
  </w:style>
  <w:style w:type="paragraph" w:styleId="13">
    <w:name w:val="toc 3"/>
    <w:basedOn w:val="1"/>
    <w:next w:val="1"/>
    <w:qFormat/>
    <w:uiPriority w:val="0"/>
    <w:pPr>
      <w:ind w:left="420"/>
      <w:jc w:val="left"/>
    </w:pPr>
    <w:rPr>
      <w:i/>
      <w:iCs/>
      <w:sz w:val="20"/>
      <w:szCs w:val="20"/>
    </w:rPr>
  </w:style>
  <w:style w:type="paragraph" w:styleId="14">
    <w:name w:val="Plain Text"/>
    <w:basedOn w:val="1"/>
    <w:link w:val="50"/>
    <w:qFormat/>
    <w:uiPriority w:val="0"/>
    <w:rPr>
      <w:rFonts w:ascii="宋体" w:hAnsi="Courier New"/>
      <w:kern w:val="0"/>
      <w:sz w:val="20"/>
      <w:szCs w:val="21"/>
      <w:lang w:val="zh-CN"/>
    </w:rPr>
  </w:style>
  <w:style w:type="paragraph" w:styleId="15">
    <w:name w:val="toc 8"/>
    <w:basedOn w:val="1"/>
    <w:next w:val="1"/>
    <w:qFormat/>
    <w:uiPriority w:val="0"/>
    <w:pPr>
      <w:ind w:left="1470"/>
      <w:jc w:val="left"/>
    </w:pPr>
    <w:rPr>
      <w:sz w:val="18"/>
      <w:szCs w:val="18"/>
    </w:rPr>
  </w:style>
  <w:style w:type="paragraph" w:styleId="16">
    <w:name w:val="Balloon Text"/>
    <w:basedOn w:val="1"/>
    <w:link w:val="58"/>
    <w:qFormat/>
    <w:uiPriority w:val="0"/>
    <w:rPr>
      <w:kern w:val="0"/>
      <w:sz w:val="18"/>
      <w:szCs w:val="18"/>
      <w:lang w:val="zh-CN"/>
    </w:rPr>
  </w:style>
  <w:style w:type="paragraph" w:styleId="17">
    <w:name w:val="footer"/>
    <w:basedOn w:val="1"/>
    <w:link w:val="62"/>
    <w:qFormat/>
    <w:uiPriority w:val="99"/>
    <w:pPr>
      <w:tabs>
        <w:tab w:val="center" w:pos="4153"/>
        <w:tab w:val="right" w:pos="8306"/>
      </w:tabs>
      <w:snapToGrid w:val="0"/>
      <w:jc w:val="left"/>
    </w:pPr>
    <w:rPr>
      <w:kern w:val="0"/>
      <w:sz w:val="18"/>
      <w:szCs w:val="18"/>
      <w:lang w:val="zh-CN"/>
    </w:rPr>
  </w:style>
  <w:style w:type="paragraph" w:styleId="18">
    <w:name w:val="envelope return"/>
    <w:basedOn w:val="1"/>
    <w:qFormat/>
    <w:uiPriority w:val="0"/>
    <w:pPr>
      <w:snapToGrid w:val="0"/>
    </w:pPr>
    <w:rPr>
      <w:rFonts w:ascii="Arial" w:hAnsi="Arial"/>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0">
    <w:name w:val="toc 1"/>
    <w:basedOn w:val="1"/>
    <w:next w:val="1"/>
    <w:qFormat/>
    <w:uiPriority w:val="39"/>
    <w:pPr>
      <w:spacing w:before="120" w:after="120"/>
      <w:jc w:val="left"/>
    </w:pPr>
    <w:rPr>
      <w:b/>
      <w:bCs/>
      <w:caps/>
      <w:sz w:val="20"/>
      <w:szCs w:val="20"/>
    </w:rPr>
  </w:style>
  <w:style w:type="paragraph" w:styleId="21">
    <w:name w:val="toc 4"/>
    <w:basedOn w:val="1"/>
    <w:next w:val="1"/>
    <w:qFormat/>
    <w:uiPriority w:val="0"/>
    <w:pPr>
      <w:ind w:left="630"/>
      <w:jc w:val="left"/>
    </w:pPr>
    <w:rPr>
      <w:sz w:val="18"/>
      <w:szCs w:val="18"/>
    </w:rPr>
  </w:style>
  <w:style w:type="paragraph" w:styleId="22">
    <w:name w:val="index heading"/>
    <w:basedOn w:val="1"/>
    <w:next w:val="23"/>
    <w:semiHidden/>
    <w:qFormat/>
    <w:uiPriority w:val="0"/>
    <w:rPr>
      <w:szCs w:val="20"/>
    </w:rPr>
  </w:style>
  <w:style w:type="paragraph" w:styleId="23">
    <w:name w:val="index 1"/>
    <w:basedOn w:val="1"/>
    <w:next w:val="1"/>
    <w:unhideWhenUsed/>
    <w:qFormat/>
    <w:uiPriority w:val="0"/>
  </w:style>
  <w:style w:type="paragraph" w:styleId="24">
    <w:name w:val="toc 6"/>
    <w:basedOn w:val="1"/>
    <w:next w:val="1"/>
    <w:qFormat/>
    <w:uiPriority w:val="0"/>
    <w:pPr>
      <w:ind w:left="1050"/>
      <w:jc w:val="left"/>
    </w:pPr>
    <w:rPr>
      <w:sz w:val="18"/>
      <w:szCs w:val="18"/>
    </w:rPr>
  </w:style>
  <w:style w:type="paragraph" w:styleId="25">
    <w:name w:val="toc 2"/>
    <w:basedOn w:val="1"/>
    <w:next w:val="1"/>
    <w:qFormat/>
    <w:uiPriority w:val="39"/>
    <w:pPr>
      <w:ind w:left="210"/>
      <w:jc w:val="left"/>
    </w:pPr>
    <w:rPr>
      <w:smallCaps/>
      <w:sz w:val="20"/>
      <w:szCs w:val="20"/>
    </w:rPr>
  </w:style>
  <w:style w:type="paragraph" w:styleId="26">
    <w:name w:val="toc 9"/>
    <w:basedOn w:val="1"/>
    <w:next w:val="1"/>
    <w:qFormat/>
    <w:uiPriority w:val="0"/>
    <w:pPr>
      <w:ind w:left="1680"/>
      <w:jc w:val="left"/>
    </w:pPr>
    <w:rPr>
      <w:sz w:val="18"/>
      <w:szCs w:val="18"/>
    </w:rPr>
  </w:style>
  <w:style w:type="paragraph" w:styleId="27">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8">
    <w:name w:val="Normal (Web)"/>
    <w:basedOn w:val="1"/>
    <w:link w:val="117"/>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110"/>
    <w:qFormat/>
    <w:uiPriority w:val="99"/>
    <w:pPr>
      <w:spacing w:before="240" w:after="60"/>
      <w:jc w:val="center"/>
      <w:outlineLvl w:val="0"/>
    </w:pPr>
    <w:rPr>
      <w:rFonts w:ascii="Arial" w:hAnsi="Arial"/>
      <w:b/>
      <w:bCs/>
      <w:sz w:val="32"/>
      <w:szCs w:val="32"/>
      <w:lang w:val="zh-CN"/>
    </w:rPr>
  </w:style>
  <w:style w:type="paragraph" w:styleId="30">
    <w:name w:val="annotation subject"/>
    <w:basedOn w:val="9"/>
    <w:next w:val="9"/>
    <w:link w:val="44"/>
    <w:unhideWhenUsed/>
    <w:qFormat/>
    <w:uiPriority w:val="99"/>
    <w:rPr>
      <w:b/>
      <w:bCs/>
      <w:kern w:val="2"/>
      <w:sz w:val="21"/>
    </w:rPr>
  </w:style>
  <w:style w:type="paragraph" w:styleId="31">
    <w:name w:val="Body Text First Indent"/>
    <w:basedOn w:val="2"/>
    <w:qFormat/>
    <w:uiPriority w:val="0"/>
    <w:pPr>
      <w:ind w:firstLine="420"/>
    </w:pPr>
    <w:rPr>
      <w:szCs w:val="20"/>
    </w:rPr>
  </w:style>
  <w:style w:type="paragraph" w:styleId="32">
    <w:name w:val="Body Text First Indent 2"/>
    <w:basedOn w:val="10"/>
    <w:unhideWhenUsed/>
    <w:qFormat/>
    <w:uiPriority w:val="0"/>
    <w:pPr>
      <w:ind w:firstLine="420" w:firstLineChars="200"/>
    </w:pPr>
  </w:style>
  <w:style w:type="table" w:styleId="34">
    <w:name w:val="Table Grid"/>
    <w:basedOn w:val="3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99"/>
  </w:style>
  <w:style w:type="character" w:styleId="38">
    <w:name w:val="FollowedHyperlink"/>
    <w:unhideWhenUsed/>
    <w:qFormat/>
    <w:uiPriority w:val="99"/>
    <w:rPr>
      <w:color w:val="800080"/>
      <w:u w:val="single"/>
    </w:rPr>
  </w:style>
  <w:style w:type="character" w:styleId="39">
    <w:name w:val="Hyperlink"/>
    <w:qFormat/>
    <w:uiPriority w:val="99"/>
    <w:rPr>
      <w:color w:val="0000FF"/>
      <w:u w:val="single"/>
    </w:rPr>
  </w:style>
  <w:style w:type="character" w:styleId="40">
    <w:name w:val="annotation reference"/>
    <w:unhideWhenUsed/>
    <w:qFormat/>
    <w:uiPriority w:val="99"/>
    <w:rPr>
      <w:sz w:val="21"/>
      <w:szCs w:val="21"/>
    </w:rPr>
  </w:style>
  <w:style w:type="character" w:customStyle="1" w:styleId="41">
    <w:name w:val="标题 2 字符"/>
    <w:qFormat/>
    <w:uiPriority w:val="0"/>
    <w:rPr>
      <w:rFonts w:ascii="Arial" w:hAnsi="Arial" w:eastAsia="黑体"/>
      <w:b/>
      <w:bCs/>
      <w:kern w:val="2"/>
      <w:sz w:val="32"/>
      <w:szCs w:val="32"/>
    </w:rPr>
  </w:style>
  <w:style w:type="character" w:customStyle="1" w:styleId="42">
    <w:name w:val="标题 3 字符"/>
    <w:link w:val="5"/>
    <w:semiHidden/>
    <w:qFormat/>
    <w:uiPriority w:val="9"/>
    <w:rPr>
      <w:b/>
      <w:bCs/>
      <w:kern w:val="2"/>
      <w:sz w:val="32"/>
      <w:szCs w:val="32"/>
    </w:rPr>
  </w:style>
  <w:style w:type="character" w:customStyle="1" w:styleId="43">
    <w:name w:val="标题 1 字符1"/>
    <w:link w:val="3"/>
    <w:qFormat/>
    <w:uiPriority w:val="0"/>
    <w:rPr>
      <w:b/>
      <w:bCs/>
      <w:kern w:val="44"/>
      <w:sz w:val="44"/>
      <w:szCs w:val="44"/>
    </w:rPr>
  </w:style>
  <w:style w:type="character" w:customStyle="1" w:styleId="44">
    <w:name w:val="批注主题 字符"/>
    <w:link w:val="30"/>
    <w:semiHidden/>
    <w:qFormat/>
    <w:uiPriority w:val="99"/>
    <w:rPr>
      <w:b/>
      <w:bCs/>
      <w:kern w:val="2"/>
      <w:sz w:val="21"/>
      <w:szCs w:val="24"/>
    </w:rPr>
  </w:style>
  <w:style w:type="character" w:customStyle="1" w:styleId="45">
    <w:name w:val="HTML 预设格式 字符"/>
    <w:link w:val="27"/>
    <w:qFormat/>
    <w:uiPriority w:val="0"/>
    <w:rPr>
      <w:rFonts w:ascii="宋体" w:hAnsi="宋体" w:cs="宋体"/>
      <w:sz w:val="24"/>
      <w:szCs w:val="24"/>
    </w:rPr>
  </w:style>
  <w:style w:type="character" w:customStyle="1" w:styleId="46">
    <w:name w:val="List Paragraph Char"/>
    <w:link w:val="47"/>
    <w:qFormat/>
    <w:locked/>
    <w:uiPriority w:val="34"/>
    <w:rPr>
      <w:kern w:val="2"/>
      <w:sz w:val="21"/>
      <w:szCs w:val="24"/>
    </w:rPr>
  </w:style>
  <w:style w:type="paragraph" w:customStyle="1" w:styleId="47">
    <w:name w:val="列出段落1"/>
    <w:basedOn w:val="1"/>
    <w:link w:val="46"/>
    <w:qFormat/>
    <w:uiPriority w:val="34"/>
    <w:pPr>
      <w:ind w:firstLine="420" w:firstLineChars="200"/>
    </w:pPr>
    <w:rPr>
      <w:lang w:val="zh-CN"/>
    </w:rPr>
  </w:style>
  <w:style w:type="character" w:customStyle="1" w:styleId="48">
    <w:name w:val="font41"/>
    <w:basedOn w:val="35"/>
    <w:qFormat/>
    <w:uiPriority w:val="0"/>
    <w:rPr>
      <w:rFonts w:hint="eastAsia" w:ascii="宋体" w:hAnsi="宋体" w:eastAsia="宋体" w:cs="宋体"/>
      <w:color w:val="000000"/>
      <w:sz w:val="18"/>
      <w:szCs w:val="18"/>
      <w:u w:val="none"/>
    </w:rPr>
  </w:style>
  <w:style w:type="character" w:customStyle="1" w:styleId="49">
    <w:name w:val="页眉 字符1"/>
    <w:link w:val="19"/>
    <w:qFormat/>
    <w:uiPriority w:val="0"/>
    <w:rPr>
      <w:rFonts w:ascii="Times New Roman" w:hAnsi="Times New Roman" w:eastAsia="宋体" w:cs="Times New Roman"/>
      <w:sz w:val="18"/>
      <w:szCs w:val="18"/>
    </w:rPr>
  </w:style>
  <w:style w:type="character" w:customStyle="1" w:styleId="50">
    <w:name w:val="纯文本 字符2"/>
    <w:link w:val="14"/>
    <w:qFormat/>
    <w:uiPriority w:val="0"/>
    <w:rPr>
      <w:rFonts w:ascii="宋体" w:hAnsi="Courier New" w:cs="Courier New"/>
      <w:szCs w:val="21"/>
    </w:rPr>
  </w:style>
  <w:style w:type="character" w:customStyle="1" w:styleId="51">
    <w:name w:val="批注引用1"/>
    <w:qFormat/>
    <w:uiPriority w:val="0"/>
    <w:rPr>
      <w:sz w:val="21"/>
      <w:szCs w:val="21"/>
    </w:rPr>
  </w:style>
  <w:style w:type="character" w:customStyle="1" w:styleId="52">
    <w:name w:val="批注框文本 字符"/>
    <w:qFormat/>
    <w:uiPriority w:val="99"/>
    <w:rPr>
      <w:rFonts w:ascii="Times New Roman" w:hAnsi="Times New Roman" w:eastAsia="宋体" w:cs="Times New Roman"/>
      <w:kern w:val="2"/>
      <w:sz w:val="18"/>
      <w:szCs w:val="18"/>
    </w:rPr>
  </w:style>
  <w:style w:type="character" w:customStyle="1" w:styleId="53">
    <w:name w:val="页眉 字符"/>
    <w:qFormat/>
    <w:uiPriority w:val="0"/>
    <w:rPr>
      <w:kern w:val="2"/>
      <w:sz w:val="18"/>
      <w:szCs w:val="18"/>
    </w:rPr>
  </w:style>
  <w:style w:type="character" w:customStyle="1" w:styleId="54">
    <w:name w:val="列出段落 字符"/>
    <w:link w:val="55"/>
    <w:qFormat/>
    <w:uiPriority w:val="99"/>
    <w:rPr>
      <w:rFonts w:ascii="Calibri" w:hAnsi="Calibri"/>
      <w:kern w:val="2"/>
      <w:sz w:val="21"/>
      <w:szCs w:val="22"/>
    </w:rPr>
  </w:style>
  <w:style w:type="paragraph" w:styleId="55">
    <w:name w:val="List Paragraph"/>
    <w:basedOn w:val="1"/>
    <w:link w:val="54"/>
    <w:qFormat/>
    <w:uiPriority w:val="99"/>
    <w:pPr>
      <w:ind w:firstLine="420" w:firstLineChars="200"/>
    </w:pPr>
    <w:rPr>
      <w:rFonts w:ascii="Calibri" w:hAnsi="Calibri"/>
      <w:szCs w:val="22"/>
      <w:lang w:val="zh-CN"/>
    </w:rPr>
  </w:style>
  <w:style w:type="character" w:customStyle="1" w:styleId="56">
    <w:name w:val="列出段落 Char"/>
    <w:qFormat/>
    <w:uiPriority w:val="99"/>
  </w:style>
  <w:style w:type="character" w:customStyle="1" w:styleId="57">
    <w:name w:val="标题 1 字符"/>
    <w:qFormat/>
    <w:uiPriority w:val="0"/>
    <w:rPr>
      <w:b/>
      <w:bCs/>
      <w:kern w:val="44"/>
      <w:sz w:val="44"/>
      <w:szCs w:val="44"/>
    </w:rPr>
  </w:style>
  <w:style w:type="character" w:customStyle="1" w:styleId="58">
    <w:name w:val="批注框文本 字符1"/>
    <w:link w:val="16"/>
    <w:qFormat/>
    <w:uiPriority w:val="0"/>
    <w:rPr>
      <w:rFonts w:ascii="Times New Roman" w:hAnsi="Times New Roman" w:eastAsia="宋体" w:cs="Times New Roman"/>
      <w:sz w:val="18"/>
      <w:szCs w:val="18"/>
    </w:rPr>
  </w:style>
  <w:style w:type="character" w:customStyle="1" w:styleId="59">
    <w:name w:val="批注文字 字符1"/>
    <w:link w:val="9"/>
    <w:qFormat/>
    <w:uiPriority w:val="0"/>
    <w:rPr>
      <w:szCs w:val="24"/>
    </w:rPr>
  </w:style>
  <w:style w:type="character" w:customStyle="1" w:styleId="60">
    <w:name w:val="纯文本 字符1"/>
    <w:semiHidden/>
    <w:qFormat/>
    <w:uiPriority w:val="99"/>
    <w:rPr>
      <w:rFonts w:ascii="宋体" w:hAnsi="Courier New" w:cs="Courier New"/>
      <w:kern w:val="2"/>
      <w:sz w:val="21"/>
      <w:szCs w:val="21"/>
    </w:rPr>
  </w:style>
  <w:style w:type="character" w:customStyle="1" w:styleId="61">
    <w:name w:val="正文缩进 字符"/>
    <w:link w:val="7"/>
    <w:qFormat/>
    <w:uiPriority w:val="0"/>
    <w:rPr>
      <w:kern w:val="2"/>
      <w:sz w:val="24"/>
      <w:szCs w:val="24"/>
    </w:rPr>
  </w:style>
  <w:style w:type="character" w:customStyle="1" w:styleId="62">
    <w:name w:val="页脚 字符1"/>
    <w:link w:val="17"/>
    <w:qFormat/>
    <w:uiPriority w:val="99"/>
    <w:rPr>
      <w:rFonts w:ascii="Times New Roman" w:hAnsi="Times New Roman" w:eastAsia="宋体" w:cs="Times New Roman"/>
      <w:sz w:val="18"/>
      <w:szCs w:val="18"/>
    </w:rPr>
  </w:style>
  <w:style w:type="character" w:customStyle="1" w:styleId="63">
    <w:name w:val="批注文字 字符"/>
    <w:qFormat/>
    <w:uiPriority w:val="0"/>
  </w:style>
  <w:style w:type="character" w:customStyle="1" w:styleId="64">
    <w:name w:val="标题 2 字符1"/>
    <w:link w:val="4"/>
    <w:qFormat/>
    <w:uiPriority w:val="9"/>
    <w:rPr>
      <w:rFonts w:ascii="Arial" w:hAnsi="Arial" w:eastAsia="黑体"/>
      <w:b/>
      <w:bCs/>
      <w:kern w:val="2"/>
      <w:sz w:val="32"/>
      <w:szCs w:val="32"/>
    </w:rPr>
  </w:style>
  <w:style w:type="character" w:customStyle="1" w:styleId="65">
    <w:name w:val="纯文本 Char"/>
    <w:link w:val="66"/>
    <w:qFormat/>
    <w:uiPriority w:val="0"/>
    <w:rPr>
      <w:rFonts w:ascii="宋体" w:hAnsi="Courier New" w:eastAsia="宋体" w:cs="Courier New"/>
      <w:szCs w:val="21"/>
    </w:rPr>
  </w:style>
  <w:style w:type="paragraph" w:customStyle="1" w:styleId="66">
    <w:name w:val="纯文本1"/>
    <w:basedOn w:val="1"/>
    <w:link w:val="65"/>
    <w:qFormat/>
    <w:uiPriority w:val="0"/>
    <w:rPr>
      <w:rFonts w:ascii="宋体" w:hAnsi="Courier New"/>
      <w:kern w:val="0"/>
      <w:sz w:val="20"/>
      <w:szCs w:val="21"/>
      <w:lang w:val="zh-CN"/>
    </w:rPr>
  </w:style>
  <w:style w:type="character" w:customStyle="1" w:styleId="67">
    <w:name w:val="纯文本 Char1"/>
    <w:qFormat/>
    <w:uiPriority w:val="0"/>
    <w:rPr>
      <w:rFonts w:ascii="宋体" w:hAnsi="Courier New" w:eastAsia="宋体" w:cs="Courier New"/>
      <w:szCs w:val="21"/>
    </w:rPr>
  </w:style>
  <w:style w:type="character" w:customStyle="1" w:styleId="68">
    <w:name w:val="font21"/>
    <w:qFormat/>
    <w:uiPriority w:val="0"/>
    <w:rPr>
      <w:rFonts w:hint="default" w:ascii="Times New Roman" w:hAnsi="Times New Roman" w:cs="Times New Roman"/>
      <w:color w:val="000000"/>
      <w:sz w:val="18"/>
      <w:szCs w:val="18"/>
      <w:u w:val="none"/>
    </w:rPr>
  </w:style>
  <w:style w:type="character" w:customStyle="1" w:styleId="69">
    <w:name w:val="页脚 字符"/>
    <w:qFormat/>
    <w:uiPriority w:val="99"/>
    <w:rPr>
      <w:kern w:val="2"/>
      <w:sz w:val="18"/>
      <w:szCs w:val="18"/>
    </w:rPr>
  </w:style>
  <w:style w:type="character" w:customStyle="1" w:styleId="70">
    <w:name w:val="文档结构图 字符"/>
    <w:link w:val="8"/>
    <w:qFormat/>
    <w:uiPriority w:val="0"/>
    <w:rPr>
      <w:kern w:val="2"/>
      <w:sz w:val="21"/>
      <w:szCs w:val="24"/>
      <w:shd w:val="clear" w:color="auto" w:fill="000080"/>
    </w:rPr>
  </w:style>
  <w:style w:type="character" w:customStyle="1" w:styleId="71">
    <w:name w:val="列表段落 字符1"/>
    <w:qFormat/>
    <w:uiPriority w:val="99"/>
  </w:style>
  <w:style w:type="character" w:customStyle="1" w:styleId="72">
    <w:name w:val="纯文本 字符"/>
    <w:qFormat/>
    <w:uiPriority w:val="0"/>
    <w:rPr>
      <w:rFonts w:ascii="宋体" w:hAnsi="Courier New"/>
      <w:szCs w:val="21"/>
    </w:rPr>
  </w:style>
  <w:style w:type="character" w:customStyle="1" w:styleId="73">
    <w:name w:val="列表段落 字符"/>
    <w:qFormat/>
    <w:uiPriority w:val="34"/>
    <w:rPr>
      <w:rFonts w:ascii="Calibri" w:hAnsi="Calibri"/>
      <w:kern w:val="2"/>
      <w:sz w:val="21"/>
      <w:szCs w:val="22"/>
    </w:rPr>
  </w:style>
  <w:style w:type="character" w:customStyle="1" w:styleId="74">
    <w:name w:val="无间隔 字符"/>
    <w:link w:val="75"/>
    <w:qFormat/>
    <w:uiPriority w:val="1"/>
    <w:rPr>
      <w:rFonts w:ascii="Calibri" w:hAnsi="Calibri"/>
      <w:kern w:val="2"/>
      <w:sz w:val="21"/>
      <w:szCs w:val="22"/>
      <w:lang w:val="en-US" w:eastAsia="zh-CN" w:bidi="ar-SA"/>
    </w:rPr>
  </w:style>
  <w:style w:type="paragraph" w:styleId="75">
    <w:name w:val="No Spacing"/>
    <w:link w:val="74"/>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xl7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0">
    <w:name w:val="列表段落1"/>
    <w:basedOn w:val="1"/>
    <w:qFormat/>
    <w:uiPriority w:val="0"/>
    <w:pPr>
      <w:ind w:firstLine="420" w:firstLineChars="200"/>
    </w:p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b/>
      <w:bCs/>
      <w:kern w:val="0"/>
      <w:sz w:val="24"/>
    </w:rPr>
  </w:style>
  <w:style w:type="paragraph" w:customStyle="1" w:styleId="82">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83">
    <w:name w:val="xl75"/>
    <w:basedOn w:val="1"/>
    <w:qFormat/>
    <w:uiPriority w:val="0"/>
    <w:pPr>
      <w:widowControl/>
      <w:pBdr>
        <w:top w:val="single" w:color="auto"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84">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5">
    <w:name w:val="xl8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86">
    <w:name w:val="xl79"/>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9">
    <w:name w:val="_Style 2"/>
    <w:basedOn w:val="1"/>
    <w:qFormat/>
    <w:uiPriority w:val="34"/>
    <w:pPr>
      <w:ind w:firstLine="420" w:firstLineChars="200"/>
    </w:pPr>
    <w:rPr>
      <w:rFonts w:ascii="Calibri" w:hAnsi="Calibri"/>
      <w:szCs w:val="22"/>
    </w:rPr>
  </w:style>
  <w:style w:type="paragraph" w:customStyle="1" w:styleId="90">
    <w:name w:val="xl82"/>
    <w:basedOn w:val="1"/>
    <w:qFormat/>
    <w:uiPriority w:val="0"/>
    <w:pPr>
      <w:widowControl/>
      <w:pBdr>
        <w:top w:val="single" w:color="000000" w:sz="4" w:space="0"/>
        <w:bottom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9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9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3">
    <w:name w:val="xl77"/>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94">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rPr>
  </w:style>
  <w:style w:type="paragraph" w:customStyle="1" w:styleId="95">
    <w:name w:val="xl87"/>
    <w:basedOn w:val="1"/>
    <w:qFormat/>
    <w:uiPriority w:val="0"/>
    <w:pPr>
      <w:widowControl/>
      <w:pBdr>
        <w:top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9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kern w:val="0"/>
      <w:sz w:val="24"/>
    </w:rPr>
  </w:style>
  <w:style w:type="paragraph" w:customStyle="1" w:styleId="97">
    <w:name w:val="正文_0"/>
    <w:qFormat/>
    <w:uiPriority w:val="0"/>
    <w:pPr>
      <w:widowControl w:val="0"/>
      <w:jc w:val="both"/>
    </w:pPr>
    <w:rPr>
      <w:rFonts w:ascii="Times New Roman" w:hAnsi="Times New Roman" w:eastAsia="宋体" w:cs="Times New Roman"/>
      <w:lang w:val="en-US" w:eastAsia="zh-CN" w:bidi="ar-SA"/>
    </w:rPr>
  </w:style>
  <w:style w:type="paragraph" w:customStyle="1" w:styleId="98">
    <w:name w:val="xl83"/>
    <w:basedOn w:val="1"/>
    <w:qFormat/>
    <w:uiPriority w:val="0"/>
    <w:pPr>
      <w:widowControl/>
      <w:pBdr>
        <w:top w:val="single" w:color="000000"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99">
    <w:name w:val="xl7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10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0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86"/>
    <w:basedOn w:val="1"/>
    <w:qFormat/>
    <w:uiPriority w:val="0"/>
    <w:pPr>
      <w:widowControl/>
      <w:pBdr>
        <w:top w:val="single" w:color="auto" w:sz="4" w:space="0"/>
        <w:bottom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03">
    <w:name w:val="xl73"/>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1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5">
    <w:name w:val="xl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06">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07">
    <w:name w:val="xl84"/>
    <w:basedOn w:val="1"/>
    <w:qFormat/>
    <w:uiPriority w:val="0"/>
    <w:pPr>
      <w:widowControl/>
      <w:pBdr>
        <w:top w:val="single" w:color="auto" w:sz="4" w:space="0"/>
        <w:bottom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08">
    <w:name w:val="xl85"/>
    <w:basedOn w:val="1"/>
    <w:qFormat/>
    <w:uiPriority w:val="0"/>
    <w:pPr>
      <w:widowControl/>
      <w:pBdr>
        <w:top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b/>
      <w:bCs/>
      <w:color w:val="000000"/>
      <w:kern w:val="0"/>
      <w:sz w:val="18"/>
      <w:szCs w:val="18"/>
    </w:rPr>
  </w:style>
  <w:style w:type="paragraph" w:customStyle="1" w:styleId="109">
    <w:name w:val="表格文字"/>
    <w:basedOn w:val="1"/>
    <w:qFormat/>
    <w:uiPriority w:val="0"/>
    <w:pPr>
      <w:spacing w:before="25" w:after="25"/>
      <w:jc w:val="left"/>
    </w:pPr>
    <w:rPr>
      <w:rFonts w:ascii="Calibri" w:hAnsi="Calibri"/>
      <w:spacing w:val="10"/>
      <w:kern w:val="0"/>
      <w:sz w:val="24"/>
      <w:szCs w:val="22"/>
    </w:rPr>
  </w:style>
  <w:style w:type="character" w:customStyle="1" w:styleId="110">
    <w:name w:val="标题 字符"/>
    <w:link w:val="29"/>
    <w:qFormat/>
    <w:uiPriority w:val="99"/>
    <w:rPr>
      <w:rFonts w:ascii="Arial" w:hAnsi="Arial" w:cs="Arial"/>
      <w:b/>
      <w:bCs/>
      <w:kern w:val="2"/>
      <w:sz w:val="32"/>
      <w:szCs w:val="32"/>
    </w:rPr>
  </w:style>
  <w:style w:type="character" w:customStyle="1" w:styleId="111">
    <w:name w:val="纯文本 Char2"/>
    <w:qFormat/>
    <w:uiPriority w:val="0"/>
    <w:rPr>
      <w:rFonts w:ascii="宋体" w:hAnsi="Courier New" w:cs="Courier New"/>
      <w:szCs w:val="21"/>
    </w:rPr>
  </w:style>
  <w:style w:type="character" w:customStyle="1" w:styleId="112">
    <w:name w:val="标题 2 Char"/>
    <w:qFormat/>
    <w:uiPriority w:val="9"/>
    <w:rPr>
      <w:rFonts w:ascii="Arial" w:hAnsi="Arial" w:eastAsia="黑体"/>
      <w:b/>
      <w:bCs/>
      <w:kern w:val="2"/>
      <w:sz w:val="32"/>
      <w:szCs w:val="32"/>
    </w:rPr>
  </w:style>
  <w:style w:type="character" w:customStyle="1" w:styleId="113">
    <w:name w:val="font61"/>
    <w:basedOn w:val="35"/>
    <w:qFormat/>
    <w:uiPriority w:val="0"/>
    <w:rPr>
      <w:rFonts w:hint="eastAsia" w:ascii="宋体" w:hAnsi="宋体" w:eastAsia="宋体" w:cs="宋体"/>
      <w:color w:val="000000"/>
      <w:sz w:val="20"/>
      <w:szCs w:val="20"/>
      <w:u w:val="none"/>
    </w:rPr>
  </w:style>
  <w:style w:type="character" w:customStyle="1" w:styleId="114">
    <w:name w:val="font11"/>
    <w:basedOn w:val="35"/>
    <w:qFormat/>
    <w:uiPriority w:val="0"/>
    <w:rPr>
      <w:rFonts w:hint="default" w:ascii="Arial" w:hAnsi="Arial" w:cs="Arial"/>
      <w:color w:val="000000"/>
      <w:sz w:val="20"/>
      <w:szCs w:val="20"/>
      <w:u w:val="none"/>
    </w:rPr>
  </w:style>
  <w:style w:type="character" w:customStyle="1" w:styleId="115">
    <w:name w:val="正文文本 字符"/>
    <w:basedOn w:val="35"/>
    <w:link w:val="2"/>
    <w:qFormat/>
    <w:uiPriority w:val="0"/>
    <w:rPr>
      <w:szCs w:val="22"/>
    </w:rPr>
  </w:style>
  <w:style w:type="paragraph" w:customStyle="1" w:styleId="116">
    <w:name w:val="_Style 109"/>
    <w:basedOn w:val="1"/>
    <w:next w:val="55"/>
    <w:qFormat/>
    <w:uiPriority w:val="34"/>
    <w:pPr>
      <w:ind w:firstLine="420" w:firstLineChars="200"/>
    </w:pPr>
  </w:style>
  <w:style w:type="character" w:customStyle="1" w:styleId="117">
    <w:name w:val="普通(网站) 字符"/>
    <w:link w:val="28"/>
    <w:qFormat/>
    <w:uiPriority w:val="99"/>
    <w:rPr>
      <w:rFonts w:ascii="宋体" w:hAnsi="宋体" w:cs="宋体"/>
      <w:sz w:val="24"/>
      <w:szCs w:val="24"/>
    </w:rPr>
  </w:style>
  <w:style w:type="paragraph" w:customStyle="1" w:styleId="11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119">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120">
    <w:name w:val="*正文"/>
    <w:basedOn w:val="1"/>
    <w:qFormat/>
    <w:uiPriority w:val="0"/>
    <w:pPr>
      <w:widowControl/>
      <w:spacing w:line="360" w:lineRule="auto"/>
      <w:ind w:firstLine="200" w:firstLineChars="200"/>
      <w:jc w:val="left"/>
    </w:pPr>
    <w:rPr>
      <w:rFonts w:ascii="仿宋_GB2312" w:hAnsi="Calibri"/>
      <w:sz w:val="24"/>
      <w:szCs w:val="28"/>
    </w:rPr>
  </w:style>
  <w:style w:type="character" w:customStyle="1" w:styleId="121">
    <w:name w:val="NormalCharacter"/>
    <w:semiHidden/>
    <w:qFormat/>
    <w:uiPriority w:val="0"/>
    <w:rPr>
      <w:rFonts w:ascii="Times New Roman" w:hAnsi="Times New Roman"/>
      <w:kern w:val="2"/>
      <w:sz w:val="21"/>
      <w:szCs w:val="24"/>
      <w:lang w:val="en-US" w:eastAsia="zh-CN" w:bidi="ar-SA"/>
    </w:rPr>
  </w:style>
  <w:style w:type="paragraph" w:customStyle="1" w:styleId="122">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123">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4">
    <w:name w:val="Table Paragraph"/>
    <w:basedOn w:val="1"/>
    <w:qFormat/>
    <w:uiPriority w:val="1"/>
    <w:pPr>
      <w:spacing w:before="80"/>
      <w:ind w:left="464"/>
      <w:jc w:val="center"/>
    </w:pPr>
    <w:rPr>
      <w:rFonts w:ascii="宋体" w:hAnsi="宋体" w:cs="宋体"/>
      <w:lang w:val="zh-CN" w:bidi="zh-CN"/>
    </w:rPr>
  </w:style>
  <w:style w:type="paragraph" w:customStyle="1" w:styleId="125">
    <w:name w:val="列表段落2"/>
    <w:basedOn w:val="1"/>
    <w:autoRedefine/>
    <w:qFormat/>
    <w:uiPriority w:val="99"/>
    <w:pPr>
      <w:ind w:firstLine="420" w:firstLineChars="200"/>
    </w:pPr>
  </w:style>
  <w:style w:type="paragraph" w:customStyle="1" w:styleId="126">
    <w:name w:val="列表段落4"/>
    <w:basedOn w:val="1"/>
    <w:autoRedefine/>
    <w:qFormat/>
    <w:uiPriority w:val="99"/>
    <w:pPr>
      <w:ind w:firstLine="420" w:firstLineChars="200"/>
    </w:pPr>
  </w:style>
  <w:style w:type="paragraph" w:customStyle="1" w:styleId="127">
    <w:name w:val="列表段落6"/>
    <w:basedOn w:val="1"/>
    <w:autoRedefine/>
    <w:qFormat/>
    <w:uiPriority w:val="99"/>
    <w:pPr>
      <w:ind w:firstLine="420" w:firstLineChars="200"/>
    </w:pPr>
  </w:style>
  <w:style w:type="paragraph" w:customStyle="1" w:styleId="128">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9">
    <w:name w:val="USE 1"/>
    <w:basedOn w:val="1"/>
    <w:qFormat/>
    <w:uiPriority w:val="0"/>
    <w:pPr>
      <w:spacing w:line="200" w:lineRule="atLeast"/>
      <w:jc w:val="left"/>
    </w:pPr>
    <w:rPr>
      <w:rFonts w:ascii="宋体" w:hAnsi="宋体"/>
      <w:b/>
      <w:sz w:val="24"/>
      <w:szCs w:val="28"/>
    </w:rPr>
  </w:style>
  <w:style w:type="paragraph" w:customStyle="1" w:styleId="130">
    <w:name w:val="首行缩进:  0.85 厘米"/>
    <w:basedOn w:val="1"/>
    <w:qFormat/>
    <w:uiPriority w:val="0"/>
    <w:pPr>
      <w:widowControl/>
      <w:spacing w:after="100" w:line="360" w:lineRule="auto"/>
      <w:ind w:firstLine="482"/>
      <w:jc w:val="left"/>
    </w:pPr>
    <w:rPr>
      <w:rFonts w:ascii="Calibri" w:hAnsi="Calibri" w:cs="宋体"/>
      <w:kern w:val="0"/>
      <w:sz w:val="24"/>
      <w:szCs w:val="20"/>
      <w:lang w:eastAsia="en-US" w:bidi="en-US"/>
    </w:rPr>
  </w:style>
  <w:style w:type="paragraph" w:customStyle="1" w:styleId="131">
    <w:name w:val="List Paragraph1"/>
    <w:basedOn w:val="1"/>
    <w:qFormat/>
    <w:uiPriority w:val="0"/>
    <w:pPr>
      <w:ind w:firstLine="420" w:firstLineChars="200"/>
    </w:pPr>
    <w:rPr>
      <w:rFonts w:eastAsia="黑体"/>
    </w:rPr>
  </w:style>
  <w:style w:type="paragraph" w:customStyle="1" w:styleId="132">
    <w:name w:val="_Style 3"/>
    <w:basedOn w:val="1"/>
    <w:qFormat/>
    <w:uiPriority w:val="0"/>
    <w:rPr>
      <w:rFonts w:ascii="Calibri" w:hAnsi="Calibri"/>
      <w:szCs w:val="21"/>
    </w:rPr>
  </w:style>
  <w:style w:type="character" w:customStyle="1" w:styleId="133">
    <w:name w:val="font31"/>
    <w:basedOn w:val="35"/>
    <w:qFormat/>
    <w:uiPriority w:val="0"/>
    <w:rPr>
      <w:rFonts w:hint="eastAsia" w:ascii="宋体" w:hAnsi="宋体" w:eastAsia="宋体" w:cs="宋体"/>
      <w:b/>
      <w:bCs/>
      <w:color w:val="000000"/>
      <w:sz w:val="21"/>
      <w:szCs w:val="21"/>
      <w:u w:val="none"/>
    </w:rPr>
  </w:style>
  <w:style w:type="paragraph" w:customStyle="1" w:styleId="134">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135">
    <w:name w:val="s1"/>
    <w:basedOn w:val="35"/>
    <w:qFormat/>
    <w:uiPriority w:val="0"/>
    <w:rPr>
      <w:rFonts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ED9C-E48E-4E23-9E5B-F270E8AF88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848</Words>
  <Characters>862</Characters>
  <Lines>138</Lines>
  <Paragraphs>39</Paragraphs>
  <TotalTime>7</TotalTime>
  <ScaleCrop>false</ScaleCrop>
  <LinksUpToDate>false</LinksUpToDate>
  <CharactersWithSpaces>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2025-06-16T09:52:00Z</dcterms:created>
  <dc:creator>Administrator</dc:creator>
  <cp:lastModifiedBy>李先森。。。。（李璟）</cp:lastModifiedBy>
  <dcterms:modified xsi:type="dcterms:W3CDTF">2026-03-18T07:08:52Z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9B7F3DE0BB9347D7BB1052D4E58C57E2_13</vt:lpwstr>
  </property>
  <property fmtid="{D5CDD505-2E9C-101B-9397-08002B2CF9AE}" pid="4" name="KSOTemplateDocerSaveRecord">
    <vt:lpwstr>eyJoZGlkIjoiMWY4NTc0MzQ5YTUxMDk4OTJkZGUxOGU4NDc5ZmRkMzYiLCJ1c2VySWQiOiI0MDM5NzU1NTcifQ==</vt:lpwstr>
  </property>
</Properties>
</file>